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2" w:type="pct"/>
        <w:jc w:val="center"/>
        <w:tblBorders>
          <w:bottom w:val="single" w:sz="4" w:space="0" w:color="auto"/>
          <w:insideH w:val="single" w:sz="4" w:space="0" w:color="auto"/>
        </w:tblBorders>
        <w:tblLook w:val="01E0" w:firstRow="1" w:lastRow="1" w:firstColumn="1" w:lastColumn="1" w:noHBand="0" w:noVBand="0"/>
      </w:tblPr>
      <w:tblGrid>
        <w:gridCol w:w="1824"/>
        <w:gridCol w:w="7465"/>
      </w:tblGrid>
      <w:tr w:rsidR="00ED29D4" w:rsidRPr="009132EA" w:rsidTr="00B17829">
        <w:trPr>
          <w:trHeight w:val="1890"/>
          <w:jc w:val="center"/>
        </w:trPr>
        <w:tc>
          <w:tcPr>
            <w:tcW w:w="982" w:type="pct"/>
          </w:tcPr>
          <w:p w:rsidR="00ED29D4" w:rsidRPr="009132EA" w:rsidRDefault="00ED29D4" w:rsidP="00B17829">
            <w:pPr>
              <w:pStyle w:val="Header"/>
              <w:rPr>
                <w:sz w:val="4"/>
                <w:szCs w:val="4"/>
              </w:rPr>
            </w:pPr>
            <w:bookmarkStart w:id="0" w:name="_GoBack"/>
            <w:r w:rsidRPr="009132EA">
              <w:rPr>
                <w:noProof/>
              </w:rPr>
              <w:drawing>
                <wp:anchor distT="0" distB="0" distL="114300" distR="114300" simplePos="0" relativeHeight="251659264" behindDoc="1" locked="0" layoutInCell="1" allowOverlap="0" wp14:anchorId="1B9F3460" wp14:editId="45A905AA">
                  <wp:simplePos x="0" y="0"/>
                  <wp:positionH relativeFrom="column">
                    <wp:posOffset>1270</wp:posOffset>
                  </wp:positionH>
                  <wp:positionV relativeFrom="paragraph">
                    <wp:posOffset>-1021715</wp:posOffset>
                  </wp:positionV>
                  <wp:extent cx="996315" cy="1059815"/>
                  <wp:effectExtent l="0" t="0" r="0" b="6985"/>
                  <wp:wrapTight wrapText="bothSides">
                    <wp:wrapPolygon edited="0">
                      <wp:start x="0" y="0"/>
                      <wp:lineTo x="0" y="21354"/>
                      <wp:lineTo x="21063" y="21354"/>
                      <wp:lineTo x="21063" y="0"/>
                      <wp:lineTo x="0" y="0"/>
                    </wp:wrapPolygon>
                  </wp:wrapTight>
                  <wp:docPr id="1" name="Picture 1" descr="Log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18" w:type="pct"/>
          </w:tcPr>
          <w:p w:rsidR="00ED29D4" w:rsidRPr="009132EA" w:rsidRDefault="00ED29D4" w:rsidP="00B17829">
            <w:pPr>
              <w:pStyle w:val="Header"/>
              <w:ind w:left="720"/>
              <w:jc w:val="right"/>
              <w:rPr>
                <w:b/>
                <w:sz w:val="22"/>
                <w:szCs w:val="22"/>
              </w:rPr>
            </w:pPr>
          </w:p>
          <w:p w:rsidR="00ED29D4" w:rsidRPr="009132EA" w:rsidRDefault="00ED29D4" w:rsidP="00B17829">
            <w:pPr>
              <w:spacing w:after="0" w:line="240" w:lineRule="auto"/>
              <w:jc w:val="right"/>
              <w:rPr>
                <w:rFonts w:ascii="Times New Roman" w:hAnsi="Times New Roman" w:cs="Times New Roman"/>
                <w:b/>
                <w:bCs/>
              </w:rPr>
            </w:pPr>
            <w:r w:rsidRPr="009132EA">
              <w:rPr>
                <w:rFonts w:ascii="Times New Roman" w:hAnsi="Times New Roman" w:cs="Times New Roman"/>
                <w:b/>
              </w:rPr>
              <w:t>TRUNG TÂM CON NGƯỜI VÀ THIÊN NHIÊN</w:t>
            </w:r>
          </w:p>
          <w:p w:rsidR="00ED29D4" w:rsidRPr="009132EA" w:rsidRDefault="00ED29D4" w:rsidP="00B17829">
            <w:pPr>
              <w:spacing w:after="0" w:line="240" w:lineRule="auto"/>
              <w:jc w:val="right"/>
              <w:rPr>
                <w:rFonts w:ascii="Times New Roman" w:hAnsi="Times New Roman" w:cs="Times New Roman"/>
              </w:rPr>
            </w:pPr>
            <w:r w:rsidRPr="009132EA">
              <w:rPr>
                <w:rFonts w:ascii="Times New Roman" w:hAnsi="Times New Roman" w:cs="Times New Roman"/>
                <w:bCs/>
                <w:lang w:val="en"/>
              </w:rPr>
              <w:t xml:space="preserve"> </w:t>
            </w:r>
            <w:r w:rsidRPr="009132EA">
              <w:rPr>
                <w:rFonts w:ascii="Times New Roman" w:hAnsi="Times New Roman" w:cs="Times New Roman"/>
              </w:rPr>
              <w:t>Số 24 H2, Khu đô thị mới Yên Hòa</w:t>
            </w:r>
          </w:p>
          <w:p w:rsidR="00ED29D4" w:rsidRPr="009132EA" w:rsidRDefault="00ED29D4" w:rsidP="00B17829">
            <w:pPr>
              <w:spacing w:after="0" w:line="240" w:lineRule="auto"/>
              <w:jc w:val="right"/>
              <w:rPr>
                <w:rFonts w:ascii="Times New Roman" w:hAnsi="Times New Roman" w:cs="Times New Roman"/>
              </w:rPr>
            </w:pPr>
            <w:r w:rsidRPr="009132EA">
              <w:rPr>
                <w:rFonts w:ascii="Times New Roman" w:hAnsi="Times New Roman" w:cs="Times New Roman"/>
              </w:rPr>
              <w:t>Phường Yên Hòa, Quận Cầu Giấy, Hà Nội</w:t>
            </w:r>
          </w:p>
          <w:p w:rsidR="00ED29D4" w:rsidRPr="009132EA" w:rsidRDefault="00ED29D4" w:rsidP="00B17829">
            <w:pPr>
              <w:spacing w:after="0" w:line="240" w:lineRule="auto"/>
              <w:jc w:val="right"/>
              <w:rPr>
                <w:rFonts w:ascii="Times New Roman" w:hAnsi="Times New Roman" w:cs="Times New Roman"/>
                <w:bCs/>
                <w:lang w:val="en"/>
              </w:rPr>
            </w:pPr>
            <w:r w:rsidRPr="009132EA">
              <w:rPr>
                <w:rFonts w:ascii="Times New Roman" w:hAnsi="Times New Roman" w:cs="Times New Roman"/>
                <w:bCs/>
                <w:lang w:val="en"/>
              </w:rPr>
              <w:t xml:space="preserve">  (0</w:t>
            </w:r>
            <w:r w:rsidR="004B5F03" w:rsidRPr="009132EA">
              <w:rPr>
                <w:rFonts w:ascii="Times New Roman" w:hAnsi="Times New Roman" w:cs="Times New Roman"/>
                <w:bCs/>
                <w:lang w:val="en"/>
              </w:rPr>
              <w:t>2</w:t>
            </w:r>
            <w:r w:rsidRPr="009132EA">
              <w:rPr>
                <w:rFonts w:ascii="Times New Roman" w:hAnsi="Times New Roman" w:cs="Times New Roman"/>
                <w:bCs/>
                <w:lang w:val="en"/>
              </w:rPr>
              <w:t xml:space="preserve">4) 3556-4001 </w:t>
            </w:r>
            <w:r w:rsidRPr="009132EA">
              <w:rPr>
                <w:rFonts w:ascii="Times New Roman" w:hAnsi="Times New Roman" w:cs="Times New Roman"/>
                <w:bCs/>
                <w:lang w:val="en"/>
              </w:rPr>
              <w:sym w:font="Wingdings 2" w:char="F037"/>
            </w:r>
            <w:r w:rsidRPr="009132EA">
              <w:rPr>
                <w:rFonts w:ascii="Times New Roman" w:hAnsi="Times New Roman" w:cs="Times New Roman"/>
                <w:bCs/>
                <w:lang w:val="en"/>
              </w:rPr>
              <w:t xml:space="preserve"> (04) 3556-8941 </w:t>
            </w:r>
          </w:p>
          <w:p w:rsidR="00ED29D4" w:rsidRPr="009132EA" w:rsidRDefault="004B5F03" w:rsidP="00B17829">
            <w:pPr>
              <w:spacing w:after="0" w:line="240" w:lineRule="auto"/>
              <w:jc w:val="right"/>
              <w:rPr>
                <w:rFonts w:ascii="Times New Roman" w:hAnsi="Times New Roman" w:cs="Times New Roman"/>
                <w:bCs/>
                <w:lang w:val="en"/>
              </w:rPr>
            </w:pPr>
            <w:r w:rsidRPr="009132EA">
              <w:rPr>
                <w:rFonts w:ascii="Times New Roman" w:hAnsi="Times New Roman" w:cs="Times New Roman"/>
                <w:bCs/>
                <w:lang w:val="en"/>
              </w:rPr>
              <w:t>C</w:t>
            </w:r>
            <w:r w:rsidR="00ED29D4" w:rsidRPr="009132EA">
              <w:rPr>
                <w:rFonts w:ascii="Times New Roman" w:hAnsi="Times New Roman" w:cs="Times New Roman"/>
                <w:bCs/>
                <w:lang w:val="en"/>
              </w:rPr>
              <w:t>ontact@nature.org.vn</w:t>
            </w:r>
          </w:p>
          <w:p w:rsidR="00ED29D4" w:rsidRPr="009132EA" w:rsidRDefault="00ED29D4" w:rsidP="00B17829">
            <w:pPr>
              <w:spacing w:after="0" w:line="240" w:lineRule="auto"/>
              <w:jc w:val="right"/>
              <w:rPr>
                <w:rFonts w:ascii="Times New Roman" w:hAnsi="Times New Roman" w:cs="Times New Roman"/>
                <w:bCs/>
                <w:lang w:val="en"/>
              </w:rPr>
            </w:pPr>
            <w:r w:rsidRPr="009132EA">
              <w:rPr>
                <w:rFonts w:ascii="Times New Roman" w:hAnsi="Times New Roman" w:cs="Times New Roman"/>
                <w:bCs/>
                <w:lang w:val="en"/>
              </w:rPr>
              <w:t>http://www.nature.org.vn</w:t>
            </w:r>
          </w:p>
          <w:p w:rsidR="00ED29D4" w:rsidRPr="009132EA" w:rsidRDefault="00ED29D4" w:rsidP="00B17829">
            <w:pPr>
              <w:pStyle w:val="Header"/>
              <w:ind w:left="720"/>
              <w:jc w:val="right"/>
              <w:rPr>
                <w:sz w:val="22"/>
                <w:szCs w:val="22"/>
              </w:rPr>
            </w:pPr>
          </w:p>
        </w:tc>
      </w:tr>
    </w:tbl>
    <w:p w:rsidR="00ED29D4" w:rsidRPr="009132EA" w:rsidRDefault="00ED29D4">
      <w:pPr>
        <w:rPr>
          <w:rFonts w:ascii="Times New Roman" w:hAnsi="Times New Roman" w:cs="Times New Roman"/>
        </w:rPr>
      </w:pPr>
    </w:p>
    <w:p w:rsidR="002D63F8" w:rsidRPr="009132EA" w:rsidRDefault="002D63F8" w:rsidP="002D63F8">
      <w:pPr>
        <w:spacing w:before="360"/>
        <w:jc w:val="center"/>
        <w:rPr>
          <w:rFonts w:ascii="Times New Roman" w:hAnsi="Times New Roman" w:cs="Times New Roman"/>
          <w:b/>
          <w:sz w:val="28"/>
          <w:szCs w:val="28"/>
        </w:rPr>
      </w:pPr>
      <w:r w:rsidRPr="009132EA">
        <w:rPr>
          <w:rFonts w:ascii="Times New Roman" w:hAnsi="Times New Roman" w:cs="Times New Roman"/>
          <w:b/>
          <w:sz w:val="28"/>
          <w:szCs w:val="28"/>
        </w:rPr>
        <w:t xml:space="preserve">ĐIỀU KHOẢN THAM CHIẾU </w:t>
      </w:r>
    </w:p>
    <w:p w:rsidR="002D63F8" w:rsidRPr="009132EA" w:rsidRDefault="002D63F8" w:rsidP="002D63F8">
      <w:pPr>
        <w:jc w:val="center"/>
        <w:rPr>
          <w:rFonts w:ascii="Times New Roman" w:hAnsi="Times New Roman" w:cs="Times New Roman"/>
          <w:b/>
          <w:sz w:val="24"/>
          <w:szCs w:val="24"/>
        </w:rPr>
      </w:pPr>
      <w:r w:rsidRPr="009132EA">
        <w:rPr>
          <w:rFonts w:ascii="Times New Roman" w:hAnsi="Times New Roman" w:cs="Times New Roman"/>
          <w:b/>
          <w:sz w:val="24"/>
          <w:szCs w:val="24"/>
        </w:rPr>
        <w:t xml:space="preserve">Dành cho chuyên gia tư vấn trong nước </w:t>
      </w:r>
    </w:p>
    <w:p w:rsidR="00EF153D" w:rsidRPr="009132EA" w:rsidRDefault="00EF153D" w:rsidP="002D63F8">
      <w:pPr>
        <w:jc w:val="center"/>
        <w:rPr>
          <w:rFonts w:ascii="Times New Roman" w:hAnsi="Times New Roman" w:cs="Times New Roman"/>
          <w:b/>
          <w:sz w:val="24"/>
          <w:szCs w:val="24"/>
        </w:rPr>
      </w:pPr>
      <w:r w:rsidRPr="009132EA">
        <w:rPr>
          <w:rFonts w:ascii="Times New Roman" w:hAnsi="Times New Roman" w:cs="Times New Roman"/>
          <w:b/>
          <w:sz w:val="24"/>
          <w:szCs w:val="24"/>
        </w:rPr>
        <w:t>Nghiên cứu và đánh giá tình hình thực hiện đấu giá, tính và thu tiền cấp quyền khai thác khoáng sản theo quy định của Luật khoáng sản 2010</w:t>
      </w:r>
      <w:r w:rsidR="00E66BEB" w:rsidRPr="009132EA">
        <w:rPr>
          <w:rFonts w:ascii="Times New Roman" w:hAnsi="Times New Roman" w:cs="Times New Roman"/>
          <w:b/>
          <w:sz w:val="24"/>
          <w:szCs w:val="24"/>
        </w:rPr>
        <w:t xml:space="preserve"> nhằm đóng góp khuyến nghị sửa đổi Luật khoáng sản trong thời gian tới</w:t>
      </w:r>
    </w:p>
    <w:p w:rsidR="009F61A9" w:rsidRPr="009132EA" w:rsidRDefault="00315ECA" w:rsidP="009F61A9">
      <w:pPr>
        <w:jc w:val="both"/>
        <w:rPr>
          <w:rFonts w:ascii="Times New Roman" w:hAnsi="Times New Roman" w:cs="Times New Roman"/>
          <w:b/>
          <w:sz w:val="24"/>
          <w:szCs w:val="24"/>
        </w:rPr>
      </w:pPr>
      <w:r w:rsidRPr="009132EA">
        <w:rPr>
          <w:rFonts w:ascii="Times New Roman" w:hAnsi="Times New Roman" w:cs="Times New Roman"/>
          <w:b/>
          <w:sz w:val="24"/>
          <w:szCs w:val="24"/>
        </w:rPr>
        <w:t>Bối cảnh</w:t>
      </w:r>
    </w:p>
    <w:p w:rsidR="00104409" w:rsidRPr="009132EA" w:rsidRDefault="00315ECA" w:rsidP="00272CCD">
      <w:pPr>
        <w:jc w:val="both"/>
        <w:rPr>
          <w:rFonts w:ascii="Times New Roman" w:hAnsi="Times New Roman" w:cs="Times New Roman"/>
          <w:sz w:val="24"/>
          <w:szCs w:val="24"/>
        </w:rPr>
      </w:pPr>
      <w:r w:rsidRPr="009132EA">
        <w:rPr>
          <w:rFonts w:ascii="Times New Roman" w:hAnsi="Times New Roman" w:cs="Times New Roman"/>
          <w:sz w:val="24"/>
          <w:szCs w:val="24"/>
        </w:rPr>
        <w:t xml:space="preserve">Luật khoáng sản số 60/2010/QH12 được ban hành, có hiệu lực kể từ ngày 01/7/2011 </w:t>
      </w:r>
      <w:r w:rsidR="002F66CB" w:rsidRPr="009132EA">
        <w:rPr>
          <w:rFonts w:ascii="Times New Roman" w:hAnsi="Times New Roman" w:cs="Times New Roman"/>
          <w:sz w:val="24"/>
          <w:szCs w:val="24"/>
        </w:rPr>
        <w:t>được nhận định đã thể chế hóa đầy đủ chủ trương, chính sách của Đảng và Nhà nước đối với tài nguyên khoáng sản</w:t>
      </w:r>
      <w:r w:rsidR="00272CCD" w:rsidRPr="009132EA">
        <w:rPr>
          <w:rFonts w:ascii="Times New Roman" w:hAnsi="Times New Roman" w:cs="Times New Roman"/>
          <w:sz w:val="24"/>
          <w:szCs w:val="24"/>
        </w:rPr>
        <w:t xml:space="preserve"> trên tinh thần quán triệt quan điểm tăng cường quản lý, bảo vệ khoáng sản chưa khai thác và khai thác triệt để, sử dụng hợp lý, tiết kiệm, có hiệu quả đối với khoáng sản đang khai thác đồng thời đảm bảo an ninh quốc phòng và bảo vệ môi trường, khai thác khoáng sản gắn liền với phát triển bền vững. </w:t>
      </w:r>
      <w:r w:rsidR="00A43500" w:rsidRPr="009132EA">
        <w:rPr>
          <w:rStyle w:val="fontstyle01"/>
          <w:rFonts w:ascii="Times New Roman" w:hAnsi="Times New Roman" w:cs="Times New Roman"/>
          <w:sz w:val="24"/>
          <w:szCs w:val="24"/>
        </w:rPr>
        <w:t>Luật Khoáng sản 2010 đã có một số nội dung thay đổi tích cực so với Luật Khoáng sản 2005 đã ban hành trước đó như</w:t>
      </w:r>
      <w:r w:rsidR="007D1EE5" w:rsidRPr="009132EA">
        <w:rPr>
          <w:rStyle w:val="fontstyle01"/>
          <w:rFonts w:ascii="Times New Roman" w:hAnsi="Times New Roman" w:cs="Times New Roman"/>
          <w:sz w:val="24"/>
          <w:szCs w:val="24"/>
        </w:rPr>
        <w:t xml:space="preserve"> c</w:t>
      </w:r>
      <w:r w:rsidR="00A43500" w:rsidRPr="009132EA">
        <w:rPr>
          <w:rStyle w:val="fontstyle01"/>
          <w:rFonts w:ascii="Times New Roman" w:hAnsi="Times New Roman" w:cs="Times New Roman"/>
          <w:sz w:val="24"/>
          <w:szCs w:val="24"/>
        </w:rPr>
        <w:t xml:space="preserve">huyển đổi từ cơ chế “xin - cho” sang cơ chế đấu giá quyền khai thác khoáng sản </w:t>
      </w:r>
      <w:r w:rsidR="0079522D" w:rsidRPr="009132EA">
        <w:rPr>
          <w:rStyle w:val="fontstyle01"/>
          <w:rFonts w:ascii="Times New Roman" w:hAnsi="Times New Roman" w:cs="Times New Roman"/>
          <w:sz w:val="24"/>
          <w:szCs w:val="24"/>
        </w:rPr>
        <w:t xml:space="preserve">(ĐGQKTKS) </w:t>
      </w:r>
      <w:r w:rsidR="00A43500" w:rsidRPr="009132EA">
        <w:rPr>
          <w:rStyle w:val="fontstyle01"/>
          <w:rFonts w:ascii="Times New Roman" w:hAnsi="Times New Roman" w:cs="Times New Roman"/>
          <w:sz w:val="24"/>
          <w:szCs w:val="24"/>
        </w:rPr>
        <w:t xml:space="preserve">nhằm đảm bảo tính công bằng, bình đẳng cho các nhà đầu tư, tạo điều kiện thuận lợi để lựa chọn được nhà đầu tư có năng lực. Việc cấp quyền khai thác khoáng sản </w:t>
      </w:r>
      <w:r w:rsidR="00A43500" w:rsidRPr="009132EA">
        <w:rPr>
          <w:rFonts w:ascii="Times New Roman" w:hAnsi="Times New Roman" w:cs="Times New Roman"/>
          <w:color w:val="111111"/>
          <w:sz w:val="24"/>
          <w:szCs w:val="24"/>
        </w:rPr>
        <w:t>ĐGQKTKS</w:t>
      </w:r>
      <w:r w:rsidR="00A43500" w:rsidRPr="009132EA">
        <w:rPr>
          <w:rStyle w:val="fontstyle01"/>
          <w:rFonts w:ascii="Times New Roman" w:hAnsi="Times New Roman" w:cs="Times New Roman"/>
          <w:sz w:val="24"/>
          <w:szCs w:val="24"/>
        </w:rPr>
        <w:t xml:space="preserve"> thực hiện trên cơ sở kết quả đấu giá quyền khai thác khoáng sản (</w:t>
      </w:r>
      <w:r w:rsidR="00A43500" w:rsidRPr="009132EA">
        <w:rPr>
          <w:rFonts w:ascii="Times New Roman" w:hAnsi="Times New Roman" w:cs="Times New Roman"/>
          <w:color w:val="111111"/>
          <w:sz w:val="24"/>
          <w:szCs w:val="24"/>
        </w:rPr>
        <w:t>ĐGQKTKS)</w:t>
      </w:r>
      <w:r w:rsidR="00A43500" w:rsidRPr="009132EA">
        <w:rPr>
          <w:rStyle w:val="fontstyle01"/>
          <w:rFonts w:ascii="Times New Roman" w:hAnsi="Times New Roman" w:cs="Times New Roman"/>
          <w:sz w:val="24"/>
          <w:szCs w:val="24"/>
        </w:rPr>
        <w:t xml:space="preserve"> nhằm bảo đảm tính công khai, minh bạch, tăng nguồn thu cho ngân sách nhà nước</w:t>
      </w:r>
      <w:r w:rsidR="007D1EE5" w:rsidRPr="009132EA">
        <w:rPr>
          <w:rStyle w:val="fontstyle01"/>
          <w:rFonts w:ascii="Times New Roman" w:hAnsi="Times New Roman" w:cs="Times New Roman"/>
          <w:sz w:val="24"/>
          <w:szCs w:val="24"/>
        </w:rPr>
        <w:t xml:space="preserve">. </w:t>
      </w:r>
      <w:r w:rsidR="00272CCD" w:rsidRPr="009132EA">
        <w:rPr>
          <w:rFonts w:ascii="Times New Roman" w:hAnsi="Times New Roman" w:cs="Times New Roman"/>
          <w:sz w:val="24"/>
          <w:szCs w:val="24"/>
        </w:rPr>
        <w:t>Để cụ thể hóa những quan điểm trên, các chính sách, văn bản hướng dẫn dưới luật liên quan đến một số nội dung quan trọng được ban hành như quy định về đấu giá quyền khai thác khoáng sản hay tính tiền cấp quyền khai thác khoáng sản</w:t>
      </w:r>
      <w:r w:rsidR="00104409" w:rsidRPr="009132EA">
        <w:rPr>
          <w:rFonts w:ascii="Times New Roman" w:hAnsi="Times New Roman" w:cs="Times New Roman"/>
          <w:sz w:val="24"/>
          <w:szCs w:val="24"/>
        </w:rPr>
        <w:t>,</w:t>
      </w:r>
      <w:r w:rsidR="00272CCD" w:rsidRPr="009132EA">
        <w:rPr>
          <w:rFonts w:ascii="Times New Roman" w:hAnsi="Times New Roman" w:cs="Times New Roman"/>
          <w:sz w:val="24"/>
          <w:szCs w:val="24"/>
        </w:rPr>
        <w:t xml:space="preserve"> tạo cơ sở pháp lý cho các cơ quan quản lý và đơn vị thăm dò, khai thác thực hiện các hoạt động khoáng sản.</w:t>
      </w:r>
    </w:p>
    <w:p w:rsidR="00F450AF" w:rsidRPr="009132EA" w:rsidRDefault="00270A99" w:rsidP="00272CCD">
      <w:pPr>
        <w:jc w:val="both"/>
        <w:rPr>
          <w:rFonts w:ascii="Times New Roman" w:hAnsi="Times New Roman" w:cs="Times New Roman"/>
          <w:sz w:val="24"/>
          <w:szCs w:val="24"/>
        </w:rPr>
      </w:pPr>
      <w:r w:rsidRPr="009132EA">
        <w:rPr>
          <w:rFonts w:ascii="Times New Roman" w:hAnsi="Times New Roman" w:cs="Times New Roman"/>
          <w:sz w:val="24"/>
          <w:szCs w:val="24"/>
        </w:rPr>
        <w:t xml:space="preserve">Ngày 26/3/2012 Chính phủ đã ban hành Nghị định 22/2012/NĐ-CP </w:t>
      </w:r>
      <w:r w:rsidR="00260B7B" w:rsidRPr="009132EA">
        <w:rPr>
          <w:rFonts w:ascii="Times New Roman" w:hAnsi="Times New Roman" w:cs="Times New Roman"/>
          <w:sz w:val="24"/>
          <w:szCs w:val="24"/>
        </w:rPr>
        <w:t xml:space="preserve">(NĐ 22) </w:t>
      </w:r>
      <w:r w:rsidRPr="009132EA">
        <w:rPr>
          <w:rFonts w:ascii="Times New Roman" w:hAnsi="Times New Roman" w:cs="Times New Roman"/>
          <w:sz w:val="24"/>
          <w:szCs w:val="24"/>
        </w:rPr>
        <w:t>Quy định về đấu giá quyền khai thác khoáng sản nhằm q</w:t>
      </w:r>
      <w:r w:rsidR="00F450AF" w:rsidRPr="009132EA">
        <w:rPr>
          <w:rFonts w:ascii="Times New Roman" w:hAnsi="Times New Roman" w:cs="Times New Roman"/>
          <w:sz w:val="24"/>
          <w:szCs w:val="24"/>
        </w:rPr>
        <w:t>uy định chi tiết</w:t>
      </w:r>
      <w:r w:rsidRPr="009132EA">
        <w:rPr>
          <w:rFonts w:ascii="Times New Roman" w:hAnsi="Times New Roman" w:cs="Times New Roman"/>
          <w:sz w:val="24"/>
          <w:szCs w:val="24"/>
        </w:rPr>
        <w:t xml:space="preserve"> khoản 2, Điều 79 Luật Khoáng sản về nguyên tắc, điều kiện, thủ tục </w:t>
      </w:r>
      <w:r w:rsidR="00632CEE" w:rsidRPr="009132EA">
        <w:rPr>
          <w:rFonts w:ascii="Times New Roman" w:hAnsi="Times New Roman" w:cs="Times New Roman"/>
          <w:sz w:val="24"/>
          <w:szCs w:val="24"/>
        </w:rPr>
        <w:t>ĐGQKTKS</w:t>
      </w:r>
      <w:r w:rsidRPr="009132EA">
        <w:rPr>
          <w:rFonts w:ascii="Times New Roman" w:hAnsi="Times New Roman" w:cs="Times New Roman"/>
          <w:sz w:val="24"/>
          <w:szCs w:val="24"/>
        </w:rPr>
        <w:t xml:space="preserve">. Năm 2015, </w:t>
      </w:r>
      <w:r w:rsidR="00890869" w:rsidRPr="009132EA">
        <w:rPr>
          <w:rFonts w:ascii="Times New Roman" w:hAnsi="Times New Roman" w:cs="Times New Roman"/>
          <w:sz w:val="24"/>
          <w:szCs w:val="24"/>
        </w:rPr>
        <w:t xml:space="preserve">Bộ </w:t>
      </w:r>
      <w:r w:rsidR="002C0533" w:rsidRPr="009132EA">
        <w:rPr>
          <w:rFonts w:ascii="Times New Roman" w:hAnsi="Times New Roman" w:cs="Times New Roman"/>
          <w:sz w:val="24"/>
          <w:szCs w:val="24"/>
        </w:rPr>
        <w:t>Tài nguyên và Môi trường (Bộ TNMT)</w:t>
      </w:r>
      <w:r w:rsidR="00890869" w:rsidRPr="009132EA">
        <w:rPr>
          <w:rFonts w:ascii="Times New Roman" w:hAnsi="Times New Roman" w:cs="Times New Roman"/>
          <w:sz w:val="24"/>
          <w:szCs w:val="24"/>
        </w:rPr>
        <w:t xml:space="preserve"> đã phê duyệt </w:t>
      </w:r>
      <w:r w:rsidR="00632CEE" w:rsidRPr="009132EA">
        <w:rPr>
          <w:rFonts w:ascii="Times New Roman" w:hAnsi="Times New Roman" w:cs="Times New Roman"/>
          <w:sz w:val="24"/>
          <w:szCs w:val="24"/>
        </w:rPr>
        <w:t>ĐGQKTKS</w:t>
      </w:r>
      <w:r w:rsidR="002C0533" w:rsidRPr="009132EA">
        <w:rPr>
          <w:rFonts w:ascii="Times New Roman" w:hAnsi="Times New Roman" w:cs="Times New Roman"/>
          <w:sz w:val="24"/>
          <w:szCs w:val="24"/>
        </w:rPr>
        <w:t xml:space="preserve"> đối với 5 khu vực mỏ tuy nhiên do chưa đủ tổ chức tham gia đấu giá và các doanh nghiệp khai thác mỏ chủ yếu có quy mô vừa và nhỏ nên chưa đáp ứng quy định về vốn chủ sở hữu theo quy định bằng 50% giá trị mỏ nên công tác đấu giá chưa thực hiện được. Ngay sau đó, để khắc phục những bất cập trên Nghị định 158/2016/NĐ-CP được ban hành thay thế cho Nghị định 15/2012/NĐ-CP trước đó Quy định chi tiết một số điều của Luật khoáng sản, trong đó đã điều chỉnh số lượng tổ chức tham gia đấu giá tối thiểu từ 3 tổ chức xuống còn 2 tổ chức và quy định vốn chủ sở hữu bằng 30% tổng vốn đầu tư của dự án khai thác mỏ nhằm tạo điều kiện cho các </w:t>
      </w:r>
      <w:r w:rsidR="002C0533" w:rsidRPr="009132EA">
        <w:rPr>
          <w:rFonts w:ascii="Times New Roman" w:hAnsi="Times New Roman" w:cs="Times New Roman"/>
          <w:sz w:val="24"/>
          <w:szCs w:val="24"/>
        </w:rPr>
        <w:lastRenderedPageBreak/>
        <w:t>doanh nghiệp có cơ hội tham gia đấu giá</w:t>
      </w:r>
      <w:r w:rsidR="006F132C" w:rsidRPr="009132EA">
        <w:rPr>
          <w:rFonts w:ascii="Times New Roman" w:hAnsi="Times New Roman" w:cs="Times New Roman"/>
          <w:sz w:val="24"/>
          <w:szCs w:val="24"/>
        </w:rPr>
        <w:t xml:space="preserve"> và lần đầu tiên ghi nhận trường hợp đấu giá thành công quyền khai thác khoáng sản ngày 28/9/2018 của</w:t>
      </w:r>
      <w:r w:rsidR="005B42B1" w:rsidRPr="009132EA">
        <w:rPr>
          <w:rFonts w:ascii="Times New Roman" w:hAnsi="Times New Roman" w:cs="Times New Roman"/>
          <w:sz w:val="24"/>
          <w:szCs w:val="24"/>
        </w:rPr>
        <w:t xml:space="preserve"> mỏ</w:t>
      </w:r>
      <w:r w:rsidR="006F132C" w:rsidRPr="009132EA">
        <w:rPr>
          <w:rFonts w:ascii="Times New Roman" w:hAnsi="Times New Roman" w:cs="Times New Roman"/>
          <w:sz w:val="24"/>
          <w:szCs w:val="24"/>
        </w:rPr>
        <w:t xml:space="preserve"> quặng sắt khu vực Nam Phia Đăm, xã Bằng Thành và xã Bộc Bố, huyện Pác Nặm tỉnh Bắc Kạn</w:t>
      </w:r>
      <w:r w:rsidR="000D268D" w:rsidRPr="009132EA">
        <w:rPr>
          <w:rStyle w:val="FootnoteReference"/>
          <w:rFonts w:ascii="Times New Roman" w:hAnsi="Times New Roman" w:cs="Times New Roman"/>
          <w:sz w:val="24"/>
          <w:szCs w:val="24"/>
        </w:rPr>
        <w:footnoteReference w:id="1"/>
      </w:r>
      <w:r w:rsidR="002C0533" w:rsidRPr="009132EA">
        <w:rPr>
          <w:rFonts w:ascii="Times New Roman" w:hAnsi="Times New Roman" w:cs="Times New Roman"/>
          <w:sz w:val="24"/>
          <w:szCs w:val="24"/>
        </w:rPr>
        <w:t xml:space="preserve">. Tính đến năm 2019 Bộ TNMT và các địa phương đã phê duyệt kế hoạch đấu giá với </w:t>
      </w:r>
      <w:r w:rsidR="00850A72" w:rsidRPr="009132EA">
        <w:rPr>
          <w:rFonts w:ascii="Times New Roman" w:hAnsi="Times New Roman" w:cs="Times New Roman"/>
          <w:sz w:val="24"/>
          <w:szCs w:val="24"/>
        </w:rPr>
        <w:t>582</w:t>
      </w:r>
      <w:r w:rsidR="002C0533" w:rsidRPr="009132EA">
        <w:rPr>
          <w:rFonts w:ascii="Times New Roman" w:hAnsi="Times New Roman" w:cs="Times New Roman"/>
          <w:sz w:val="24"/>
          <w:szCs w:val="24"/>
        </w:rPr>
        <w:t xml:space="preserve"> khu vực khoáng sản, trong đó đấu giá thành công </w:t>
      </w:r>
      <w:r w:rsidR="00850A72" w:rsidRPr="009132EA">
        <w:rPr>
          <w:rFonts w:ascii="Times New Roman" w:hAnsi="Times New Roman" w:cs="Times New Roman"/>
          <w:sz w:val="24"/>
          <w:szCs w:val="24"/>
        </w:rPr>
        <w:t>304</w:t>
      </w:r>
      <w:r w:rsidR="002C0533" w:rsidRPr="009132EA">
        <w:rPr>
          <w:rFonts w:ascii="Times New Roman" w:hAnsi="Times New Roman" w:cs="Times New Roman"/>
          <w:sz w:val="24"/>
          <w:szCs w:val="24"/>
        </w:rPr>
        <w:t xml:space="preserve"> khu vực với tổng giá trị thông qua đấu giá ước đạt </w:t>
      </w:r>
      <w:r w:rsidR="003B18F1" w:rsidRPr="009132EA">
        <w:rPr>
          <w:rFonts w:ascii="Times New Roman" w:hAnsi="Times New Roman" w:cs="Times New Roman"/>
          <w:sz w:val="24"/>
          <w:szCs w:val="24"/>
        </w:rPr>
        <w:t>858</w:t>
      </w:r>
      <w:r w:rsidR="002C0533" w:rsidRPr="009132EA">
        <w:rPr>
          <w:rFonts w:ascii="Times New Roman" w:hAnsi="Times New Roman" w:cs="Times New Roman"/>
          <w:sz w:val="24"/>
          <w:szCs w:val="24"/>
        </w:rPr>
        <w:t xml:space="preserve"> tỷ đồng</w:t>
      </w:r>
      <w:r w:rsidR="002C0533" w:rsidRPr="009132EA">
        <w:rPr>
          <w:rStyle w:val="FootnoteReference"/>
          <w:rFonts w:ascii="Times New Roman" w:hAnsi="Times New Roman" w:cs="Times New Roman"/>
          <w:sz w:val="24"/>
          <w:szCs w:val="24"/>
        </w:rPr>
        <w:footnoteReference w:id="2"/>
      </w:r>
      <w:r w:rsidR="004026A9" w:rsidRPr="009132EA">
        <w:rPr>
          <w:rFonts w:ascii="Times New Roman" w:hAnsi="Times New Roman" w:cs="Times New Roman"/>
          <w:sz w:val="24"/>
          <w:szCs w:val="24"/>
        </w:rPr>
        <w:t xml:space="preserve">. </w:t>
      </w:r>
    </w:p>
    <w:p w:rsidR="004F7E30" w:rsidRPr="009132EA" w:rsidRDefault="007D479D" w:rsidP="00272CCD">
      <w:pPr>
        <w:jc w:val="both"/>
        <w:rPr>
          <w:rFonts w:ascii="Times New Roman" w:hAnsi="Times New Roman" w:cs="Times New Roman"/>
          <w:sz w:val="24"/>
          <w:szCs w:val="24"/>
        </w:rPr>
      </w:pPr>
      <w:r w:rsidRPr="009132EA">
        <w:rPr>
          <w:rFonts w:ascii="Times New Roman" w:hAnsi="Times New Roman" w:cs="Times New Roman"/>
          <w:sz w:val="24"/>
          <w:szCs w:val="24"/>
        </w:rPr>
        <w:t>Ngay sau khi Nghị định 203/2013/NĐ-CP quy định về phương pháp tính, mức thu tiền cấp quyền khai thác khoáng sản được ban hành và có hiệu lực, Bộ TNMT đã chỉ đạo tổ chức thực hiện công tác tính tiền cấp quyền đối với các dự án khai thác mỏ mới được cấp phép và tiến hành hồi tố với các dự án được cấp phép trước thời điểm Luật Khoáng sản và Nghị định 203/2013/NĐ-CP có hiệu lực. Tính đến hết tháng 5/2019 tổng số tiền cấp quyền khai thác khoáng sản được phê duyệt là 49.558 tỷ đồng, trong đó số tiền đã thu được cho ngân sách nhà nước theo báo cáo của Tổng cụ</w:t>
      </w:r>
      <w:r w:rsidR="00FD2A45" w:rsidRPr="009132EA">
        <w:rPr>
          <w:rFonts w:ascii="Times New Roman" w:hAnsi="Times New Roman" w:cs="Times New Roman"/>
          <w:sz w:val="24"/>
          <w:szCs w:val="24"/>
        </w:rPr>
        <w:t>c</w:t>
      </w:r>
      <w:r w:rsidRPr="009132EA">
        <w:rPr>
          <w:rFonts w:ascii="Times New Roman" w:hAnsi="Times New Roman" w:cs="Times New Roman"/>
          <w:sz w:val="24"/>
          <w:szCs w:val="24"/>
        </w:rPr>
        <w:t xml:space="preserve"> thuế tính từ năm 2014</w:t>
      </w:r>
      <w:r w:rsidR="009D0AD2" w:rsidRPr="009132EA">
        <w:rPr>
          <w:rFonts w:ascii="Times New Roman" w:hAnsi="Times New Roman" w:cs="Times New Roman"/>
          <w:sz w:val="24"/>
          <w:szCs w:val="24"/>
        </w:rPr>
        <w:t xml:space="preserve"> đ</w:t>
      </w:r>
      <w:r w:rsidR="007D1EE5" w:rsidRPr="009132EA">
        <w:rPr>
          <w:rFonts w:ascii="Times New Roman" w:hAnsi="Times New Roman" w:cs="Times New Roman"/>
          <w:sz w:val="24"/>
          <w:szCs w:val="24"/>
        </w:rPr>
        <w:t>ế</w:t>
      </w:r>
      <w:r w:rsidR="009D0AD2" w:rsidRPr="009132EA">
        <w:rPr>
          <w:rFonts w:ascii="Times New Roman" w:hAnsi="Times New Roman" w:cs="Times New Roman"/>
          <w:sz w:val="24"/>
          <w:szCs w:val="24"/>
        </w:rPr>
        <w:t>n hết tháng 5/2019 là 22.831 tỷ đồng, tính trung bình mỗi năm thu ngân sách nhà nước từ tiền cấp quyền khai thác khoáng sản đạt từ 4000 – 4500 tỷ đồng</w:t>
      </w:r>
      <w:r w:rsidR="00FD2A45" w:rsidRPr="009132EA">
        <w:rPr>
          <w:rStyle w:val="FootnoteReference"/>
          <w:rFonts w:ascii="Times New Roman" w:hAnsi="Times New Roman" w:cs="Times New Roman"/>
          <w:sz w:val="24"/>
          <w:szCs w:val="24"/>
        </w:rPr>
        <w:footnoteReference w:id="3"/>
      </w:r>
      <w:r w:rsidR="00F66E20" w:rsidRPr="009132EA">
        <w:rPr>
          <w:rFonts w:ascii="Times New Roman" w:hAnsi="Times New Roman" w:cs="Times New Roman"/>
          <w:sz w:val="24"/>
          <w:szCs w:val="24"/>
        </w:rPr>
        <w:t xml:space="preserve">. </w:t>
      </w:r>
      <w:r w:rsidR="00F200F6" w:rsidRPr="009132EA">
        <w:rPr>
          <w:rFonts w:ascii="Times New Roman" w:hAnsi="Times New Roman" w:cs="Times New Roman"/>
          <w:sz w:val="24"/>
          <w:szCs w:val="24"/>
        </w:rPr>
        <w:t xml:space="preserve">Ngày 31/7/2019 Thủ tướng Chính phủ đã ký ban hành Nghị định số 67/2019/NĐ-CP </w:t>
      </w:r>
      <w:r w:rsidR="00000D28" w:rsidRPr="009132EA">
        <w:rPr>
          <w:rFonts w:ascii="Times New Roman" w:hAnsi="Times New Roman" w:cs="Times New Roman"/>
          <w:sz w:val="24"/>
          <w:szCs w:val="24"/>
        </w:rPr>
        <w:t xml:space="preserve">Quy định về phương pháp tính, mức thu tiền cấp quyền khai thác khoáng sản </w:t>
      </w:r>
      <w:r w:rsidR="00F200F6" w:rsidRPr="009132EA">
        <w:rPr>
          <w:rFonts w:ascii="Times New Roman" w:hAnsi="Times New Roman" w:cs="Times New Roman"/>
          <w:sz w:val="24"/>
          <w:szCs w:val="24"/>
        </w:rPr>
        <w:t xml:space="preserve">thay thế cho Nghị định 203/2013/NĐ-CP </w:t>
      </w:r>
      <w:r w:rsidR="00000D28" w:rsidRPr="009132EA">
        <w:rPr>
          <w:rFonts w:ascii="Times New Roman" w:hAnsi="Times New Roman" w:cs="Times New Roman"/>
          <w:sz w:val="24"/>
          <w:szCs w:val="24"/>
        </w:rPr>
        <w:t xml:space="preserve">trước đó. Nghị định 67 được nhận định là một chính sách mới bên cạnh góp phần tăng thêm nguồn thu cho ngân sách nhà nước đồng thời tháo gỡ những nút thắt cho các doanh nghiệp và là tiền đề quan trọng để cải tạo môi trường và những hệ lụy do khai thác khoáng sản gây ra. </w:t>
      </w:r>
    </w:p>
    <w:p w:rsidR="00F66E20" w:rsidRPr="009132EA" w:rsidRDefault="003033C9" w:rsidP="00272CCD">
      <w:pPr>
        <w:jc w:val="both"/>
        <w:rPr>
          <w:rFonts w:ascii="Times New Roman" w:hAnsi="Times New Roman" w:cs="Times New Roman"/>
          <w:sz w:val="24"/>
          <w:szCs w:val="24"/>
        </w:rPr>
      </w:pPr>
      <w:r w:rsidRPr="009132EA">
        <w:rPr>
          <w:rFonts w:ascii="Times New Roman" w:hAnsi="Times New Roman" w:cs="Times New Roman"/>
          <w:sz w:val="24"/>
          <w:szCs w:val="24"/>
        </w:rPr>
        <w:t>Q</w:t>
      </w:r>
      <w:r w:rsidR="00202EF6" w:rsidRPr="009132EA">
        <w:rPr>
          <w:rFonts w:ascii="Times New Roman" w:hAnsi="Times New Roman" w:cs="Times New Roman"/>
          <w:sz w:val="24"/>
          <w:szCs w:val="24"/>
        </w:rPr>
        <w:t xml:space="preserve">ua 9 năm thực thi Luật khoáng sản 2010 tổng số tiền thu được thông qua đấu giá mới chỉ đạt hơn </w:t>
      </w:r>
      <w:r w:rsidR="003B18F1" w:rsidRPr="009132EA">
        <w:rPr>
          <w:rFonts w:ascii="Times New Roman" w:hAnsi="Times New Roman" w:cs="Times New Roman"/>
          <w:sz w:val="24"/>
          <w:szCs w:val="24"/>
        </w:rPr>
        <w:t>800</w:t>
      </w:r>
      <w:r w:rsidR="00202EF6" w:rsidRPr="009132EA">
        <w:rPr>
          <w:rFonts w:ascii="Times New Roman" w:hAnsi="Times New Roman" w:cs="Times New Roman"/>
          <w:sz w:val="24"/>
          <w:szCs w:val="24"/>
        </w:rPr>
        <w:t xml:space="preserve"> tỷ đồng (tính đến </w:t>
      </w:r>
      <w:r w:rsidR="003B18F1" w:rsidRPr="009132EA">
        <w:rPr>
          <w:rFonts w:ascii="Times New Roman" w:hAnsi="Times New Roman" w:cs="Times New Roman"/>
          <w:sz w:val="24"/>
          <w:szCs w:val="24"/>
        </w:rPr>
        <w:t xml:space="preserve">năm </w:t>
      </w:r>
      <w:r w:rsidR="00202EF6" w:rsidRPr="009132EA">
        <w:rPr>
          <w:rFonts w:ascii="Times New Roman" w:hAnsi="Times New Roman" w:cs="Times New Roman"/>
          <w:sz w:val="24"/>
          <w:szCs w:val="24"/>
        </w:rPr>
        <w:t xml:space="preserve">2019) thấp hơn rất nhiều so với số tiền cấp quyền khai thác khoáng sản thu được hàng năm </w:t>
      </w:r>
      <w:r w:rsidR="00FD469F" w:rsidRPr="009132EA">
        <w:rPr>
          <w:rFonts w:ascii="Times New Roman" w:hAnsi="Times New Roman" w:cs="Times New Roman"/>
          <w:sz w:val="24"/>
          <w:szCs w:val="24"/>
        </w:rPr>
        <w:t>(4000 – 4500 tỷ đồng)</w:t>
      </w:r>
      <w:r w:rsidRPr="009132EA">
        <w:rPr>
          <w:rFonts w:ascii="Times New Roman" w:hAnsi="Times New Roman" w:cs="Times New Roman"/>
          <w:sz w:val="24"/>
          <w:szCs w:val="24"/>
        </w:rPr>
        <w:t>,</w:t>
      </w:r>
      <w:r w:rsidR="00FE7155" w:rsidRPr="009132EA">
        <w:rPr>
          <w:rFonts w:ascii="Times New Roman" w:hAnsi="Times New Roman" w:cs="Times New Roman"/>
          <w:sz w:val="24"/>
          <w:szCs w:val="24"/>
        </w:rPr>
        <w:t xml:space="preserve"> điều </w:t>
      </w:r>
      <w:r w:rsidRPr="009132EA">
        <w:rPr>
          <w:rFonts w:ascii="Times New Roman" w:hAnsi="Times New Roman" w:cs="Times New Roman"/>
          <w:sz w:val="24"/>
          <w:szCs w:val="24"/>
        </w:rPr>
        <w:t>này cho thấy</w:t>
      </w:r>
      <w:r w:rsidR="00FD469F" w:rsidRPr="009132EA">
        <w:rPr>
          <w:rFonts w:ascii="Times New Roman" w:hAnsi="Times New Roman" w:cs="Times New Roman"/>
          <w:sz w:val="24"/>
          <w:szCs w:val="24"/>
        </w:rPr>
        <w:t xml:space="preserve"> thu ngân sách thông qua đấu giá chiếm tỉ lệ rất nhỏ so với thu ngân sách không thông qua đấu giá. </w:t>
      </w:r>
      <w:r w:rsidR="00260B7B" w:rsidRPr="009132EA">
        <w:rPr>
          <w:rFonts w:ascii="Times New Roman" w:hAnsi="Times New Roman" w:cs="Times New Roman"/>
          <w:sz w:val="24"/>
          <w:szCs w:val="24"/>
        </w:rPr>
        <w:t xml:space="preserve">Nghị định 22/2012/NĐ-CP qua quá trình thực hiện đã xuất hiện những điểm bất cập so với Luật đấu giá tài sản 2016, Luật Đất đai 2013 do đó Dự thảo nghị định thay thế NĐ 22 đã được </w:t>
      </w:r>
      <w:r w:rsidR="00260F8A" w:rsidRPr="009132EA">
        <w:rPr>
          <w:rFonts w:ascii="Times New Roman" w:hAnsi="Times New Roman" w:cs="Times New Roman"/>
          <w:sz w:val="24"/>
          <w:szCs w:val="24"/>
        </w:rPr>
        <w:t xml:space="preserve">xây dựng và lấy ý kiến đóng góp từ các đơn vị liên quan nhưng đến nay vẫn chưa được ban hành. </w:t>
      </w:r>
    </w:p>
    <w:p w:rsidR="00AB207D" w:rsidRPr="009132EA" w:rsidRDefault="00AB207D" w:rsidP="00AB207D">
      <w:pPr>
        <w:widowControl w:val="0"/>
        <w:spacing w:before="120"/>
        <w:jc w:val="both"/>
        <w:rPr>
          <w:rFonts w:ascii="Times New Roman" w:hAnsi="Times New Roman" w:cs="Times New Roman"/>
          <w:color w:val="111111"/>
          <w:sz w:val="24"/>
          <w:szCs w:val="24"/>
        </w:rPr>
      </w:pPr>
      <w:r w:rsidRPr="009132EA">
        <w:rPr>
          <w:rFonts w:ascii="Times New Roman" w:hAnsi="Times New Roman" w:cs="Times New Roman"/>
          <w:color w:val="111111"/>
          <w:sz w:val="24"/>
          <w:szCs w:val="24"/>
        </w:rPr>
        <w:t>Mặt khác, Luật Khoáng sản và Luật Thuế tài nguyên cũng chưa có sự đồng bộ trong quy định về tiền cấp quyền khai thác khoáng sản. Theo quy định của Luật Khoáng sản, giá khởi điểm được tính theo mức thu tiền cấp quyền khai thác khoáng sản. Cách tính mức thu tiền cấp quyền khai thác khoáng sản này theo Luật Thuế tài nguyên lại dựa trên sản lượng thực tế khai thác do người khai thác tự khai báo.</w:t>
      </w:r>
    </w:p>
    <w:p w:rsidR="00AB207D" w:rsidRPr="009132EA" w:rsidRDefault="00AB207D" w:rsidP="00AB207D">
      <w:pPr>
        <w:widowControl w:val="0"/>
        <w:spacing w:before="120"/>
        <w:jc w:val="both"/>
        <w:rPr>
          <w:rFonts w:ascii="Times New Roman" w:hAnsi="Times New Roman" w:cs="Times New Roman"/>
          <w:color w:val="111111"/>
          <w:sz w:val="24"/>
          <w:szCs w:val="24"/>
        </w:rPr>
      </w:pPr>
      <w:r w:rsidRPr="009132EA">
        <w:rPr>
          <w:rFonts w:ascii="Times New Roman" w:hAnsi="Times New Roman" w:cs="Times New Roman"/>
          <w:color w:val="111111"/>
          <w:sz w:val="24"/>
          <w:szCs w:val="24"/>
        </w:rPr>
        <w:t>Trong khi việc ĐGQKTKS thực hiện cả ở những mỏ chưa được thăm dò, đánh giá trữ lượng, giá khởi điểm được tính theo mức thu tiền cấp quyền khai thác khoáng sản (TCQKTKS) của trữ lượng chưa được khai thác ở những mỏ chưa rõ trữ lượng chính xác. Do đó sẽ nảy sinh nhiều rủi ro, thất thoát với cả 2 phía (Nhà nước và đơn vị trúng đấu giá), bởi nếu đơn vị trúng đấu giá được hưởng lợi với trữ lượng lớn hơn tính toán ban đầu thì Nhà nước lại thất thu và ngược lại.</w:t>
      </w:r>
      <w:r w:rsidRPr="009132EA">
        <w:rPr>
          <w:rStyle w:val="FootnoteReference"/>
          <w:rFonts w:ascii="Times New Roman" w:hAnsi="Times New Roman" w:cs="Times New Roman"/>
          <w:color w:val="111111"/>
          <w:sz w:val="24"/>
          <w:szCs w:val="24"/>
        </w:rPr>
        <w:footnoteReference w:id="4"/>
      </w:r>
    </w:p>
    <w:p w:rsidR="00632CEE" w:rsidRPr="009132EA" w:rsidRDefault="00AB207D" w:rsidP="00697447">
      <w:pPr>
        <w:jc w:val="both"/>
        <w:rPr>
          <w:rFonts w:ascii="Times New Roman" w:hAnsi="Times New Roman" w:cs="Times New Roman"/>
          <w:b/>
          <w:sz w:val="24"/>
          <w:szCs w:val="24"/>
        </w:rPr>
      </w:pPr>
      <w:r w:rsidRPr="009132EA">
        <w:rPr>
          <w:rFonts w:ascii="Times New Roman" w:hAnsi="Times New Roman" w:cs="Times New Roman"/>
          <w:color w:val="111111"/>
          <w:sz w:val="24"/>
          <w:szCs w:val="24"/>
        </w:rPr>
        <w:lastRenderedPageBreak/>
        <w:t>Những dẫn chứng trên chỉ là một trong rất nhiều bất cập đang cản trở thực hiện ĐGQKTKS và TCQKTKS, do vậy, việc thực hiện ĐGQKTKS và TCQKTKS cần phải thực hiện đúng bản chất của việc đấu giá, minh bạch và đồng đồng bộ - thống nhất với các luật liên quan như: Đất đai, Thuế tài nguyên, Đấu giá tài sản…</w:t>
      </w:r>
      <w:r w:rsidR="00632CEE" w:rsidRPr="009132EA">
        <w:rPr>
          <w:rFonts w:ascii="Times New Roman" w:hAnsi="Times New Roman" w:cs="Times New Roman"/>
          <w:color w:val="111111"/>
          <w:sz w:val="24"/>
          <w:szCs w:val="24"/>
        </w:rPr>
        <w:t xml:space="preserve"> Do đó,</w:t>
      </w:r>
      <w:r w:rsidRPr="009132EA">
        <w:rPr>
          <w:rFonts w:ascii="Times New Roman" w:hAnsi="Times New Roman" w:cs="Times New Roman"/>
          <w:sz w:val="24"/>
          <w:szCs w:val="24"/>
        </w:rPr>
        <w:t xml:space="preserve"> trong khuôn khổ hoạt động của Liên minh khoáng sản (LMKS) dưới sự tài trợ của tổ chức Oxfam Việt Nam, LMKS tiến hành thực hiện</w:t>
      </w:r>
      <w:r w:rsidR="00632CEE" w:rsidRPr="009132EA">
        <w:rPr>
          <w:rFonts w:ascii="Times New Roman" w:hAnsi="Times New Roman" w:cs="Times New Roman"/>
          <w:sz w:val="24"/>
          <w:szCs w:val="24"/>
        </w:rPr>
        <w:t xml:space="preserve"> </w:t>
      </w:r>
      <w:bookmarkStart w:id="1" w:name="_Hlk60219448"/>
      <w:r w:rsidR="00697447" w:rsidRPr="009132EA">
        <w:rPr>
          <w:rFonts w:ascii="Times New Roman" w:hAnsi="Times New Roman" w:cs="Times New Roman"/>
          <w:i/>
          <w:sz w:val="24"/>
          <w:szCs w:val="24"/>
        </w:rPr>
        <w:t>Nghiên cứu và đánh giá tình hình thực hiện đấu giá, tính và thu tiền cấp quyền khai thác khoáng sản theo quy định của Luật khoáng sản 2010 nhằm đóng góp khuyến nghị sửa đổi Luật khoáng sản trong thời gian tới</w:t>
      </w:r>
      <w:bookmarkEnd w:id="1"/>
      <w:r w:rsidR="00697447" w:rsidRPr="009132EA">
        <w:rPr>
          <w:rFonts w:ascii="Times New Roman" w:hAnsi="Times New Roman" w:cs="Times New Roman"/>
          <w:b/>
          <w:sz w:val="24"/>
          <w:szCs w:val="24"/>
        </w:rPr>
        <w:t xml:space="preserve">. </w:t>
      </w:r>
      <w:r w:rsidR="00632CEE" w:rsidRPr="009132EA">
        <w:rPr>
          <w:rFonts w:ascii="Times New Roman" w:hAnsi="Times New Roman" w:cs="Times New Roman"/>
          <w:sz w:val="24"/>
          <w:szCs w:val="24"/>
        </w:rPr>
        <w:t xml:space="preserve">Do thời gian và nguồn lực của nghiên cứu có hạn, LMKS sẽ tập trung </w:t>
      </w:r>
      <w:r w:rsidR="00C14B07" w:rsidRPr="009132EA">
        <w:rPr>
          <w:rFonts w:ascii="Times New Roman" w:hAnsi="Times New Roman" w:cs="Times New Roman"/>
          <w:sz w:val="24"/>
          <w:szCs w:val="24"/>
        </w:rPr>
        <w:t>rà soát và nghiên cứu vào</w:t>
      </w:r>
      <w:r w:rsidR="00632CEE" w:rsidRPr="009132EA">
        <w:rPr>
          <w:rFonts w:ascii="Times New Roman" w:hAnsi="Times New Roman" w:cs="Times New Roman"/>
          <w:sz w:val="24"/>
          <w:szCs w:val="24"/>
        </w:rPr>
        <w:t xml:space="preserve"> hai </w:t>
      </w:r>
      <w:r w:rsidR="00C14B07" w:rsidRPr="009132EA">
        <w:rPr>
          <w:rFonts w:ascii="Times New Roman" w:hAnsi="Times New Roman" w:cs="Times New Roman"/>
          <w:sz w:val="24"/>
          <w:szCs w:val="24"/>
        </w:rPr>
        <w:t>chủ đề chính là (i)</w:t>
      </w:r>
      <w:r w:rsidR="00632CEE" w:rsidRPr="009132EA">
        <w:rPr>
          <w:rFonts w:ascii="Times New Roman" w:hAnsi="Times New Roman" w:cs="Times New Roman"/>
          <w:sz w:val="24"/>
          <w:szCs w:val="24"/>
        </w:rPr>
        <w:t xml:space="preserve"> tiền cấp quyền khai thác khoáng sản và</w:t>
      </w:r>
      <w:r w:rsidR="00C14B07" w:rsidRPr="009132EA">
        <w:rPr>
          <w:rFonts w:ascii="Times New Roman" w:hAnsi="Times New Roman" w:cs="Times New Roman"/>
          <w:sz w:val="24"/>
          <w:szCs w:val="24"/>
        </w:rPr>
        <w:t xml:space="preserve"> (ii)</w:t>
      </w:r>
      <w:r w:rsidR="00632CEE" w:rsidRPr="009132EA">
        <w:rPr>
          <w:rFonts w:ascii="Times New Roman" w:hAnsi="Times New Roman" w:cs="Times New Roman"/>
          <w:sz w:val="24"/>
          <w:szCs w:val="24"/>
        </w:rPr>
        <w:t xml:space="preserve"> đấu giá quyền khai thác khoáng sản.</w:t>
      </w:r>
    </w:p>
    <w:p w:rsidR="00632CEE" w:rsidRPr="009132EA" w:rsidRDefault="00632CEE" w:rsidP="00632CEE">
      <w:pPr>
        <w:pStyle w:val="head14"/>
        <w:spacing w:before="120" w:beforeAutospacing="0" w:after="120" w:afterAutospacing="0" w:line="276" w:lineRule="auto"/>
        <w:jc w:val="both"/>
      </w:pPr>
      <w:r w:rsidRPr="009132EA">
        <w:rPr>
          <w:b/>
        </w:rPr>
        <w:t xml:space="preserve">Mục tiêu nghiên cứu: </w:t>
      </w:r>
      <w:r w:rsidR="00A02C56" w:rsidRPr="009132EA">
        <w:t>Nghiên cứu và đ</w:t>
      </w:r>
      <w:r w:rsidRPr="009132EA">
        <w:t xml:space="preserve">ánh giá </w:t>
      </w:r>
      <w:r w:rsidR="00A02C56" w:rsidRPr="009132EA">
        <w:t xml:space="preserve">về hiện trạng </w:t>
      </w:r>
      <w:r w:rsidRPr="009132EA">
        <w:t xml:space="preserve">thực hiện </w:t>
      </w:r>
      <w:r w:rsidR="00A02C56" w:rsidRPr="009132EA">
        <w:t xml:space="preserve">các </w:t>
      </w:r>
      <w:r w:rsidRPr="009132EA">
        <w:t>chính sách về đấu giá quyền khai thác và tiền cấp quyền khai thác khoáng sản theo những quy định của Luật khoáng sản 2010 và các văn bản dưới luật liên quan</w:t>
      </w:r>
      <w:r w:rsidR="00A02C56" w:rsidRPr="009132EA">
        <w:t>. Từ đó, xác định những khoảng trống, thiếu hụt giữa chính sách và thực tế triển khai các quy định về đấu giá quyền khai thác khoáng sản và tiền cấp quyền khai thác khoáng sản để đưa ra những đề xuất/khuyến nghị sửa đổi/bổ sung chính sách phù hợp.</w:t>
      </w:r>
    </w:p>
    <w:p w:rsidR="00AB207D" w:rsidRPr="009132EA" w:rsidRDefault="00A73872" w:rsidP="00AB207D">
      <w:pPr>
        <w:jc w:val="both"/>
        <w:rPr>
          <w:rFonts w:ascii="Times New Roman" w:hAnsi="Times New Roman" w:cs="Times New Roman"/>
          <w:b/>
          <w:sz w:val="24"/>
          <w:szCs w:val="24"/>
        </w:rPr>
      </w:pPr>
      <w:r w:rsidRPr="009132EA">
        <w:rPr>
          <w:rFonts w:ascii="Times New Roman" w:hAnsi="Times New Roman" w:cs="Times New Roman"/>
          <w:b/>
          <w:sz w:val="24"/>
          <w:szCs w:val="24"/>
        </w:rPr>
        <w:t>Nội dung công việc</w:t>
      </w:r>
    </w:p>
    <w:p w:rsidR="00A73872" w:rsidRPr="009132EA" w:rsidRDefault="00C9129F" w:rsidP="00334294">
      <w:pPr>
        <w:pStyle w:val="ListParagraph"/>
        <w:numPr>
          <w:ilvl w:val="0"/>
          <w:numId w:val="2"/>
        </w:numPr>
        <w:jc w:val="both"/>
        <w:rPr>
          <w:rFonts w:ascii="Times New Roman" w:hAnsi="Times New Roman" w:cs="Times New Roman"/>
          <w:sz w:val="24"/>
          <w:szCs w:val="24"/>
        </w:rPr>
      </w:pPr>
      <w:r w:rsidRPr="009132EA">
        <w:rPr>
          <w:rFonts w:ascii="Times New Roman" w:hAnsi="Times New Roman" w:cs="Times New Roman"/>
          <w:sz w:val="24"/>
          <w:szCs w:val="24"/>
        </w:rPr>
        <w:t xml:space="preserve">Rà soát cơ chế chính sách và hiện trạng thực hiện đấu giá quyền khai thác khoáng sản; tính và thu tiền cấp quyền khai thác khoáng sản </w:t>
      </w:r>
      <w:r w:rsidR="00A64E70" w:rsidRPr="009132EA">
        <w:rPr>
          <w:rFonts w:ascii="Times New Roman" w:hAnsi="Times New Roman" w:cs="Times New Roman"/>
          <w:sz w:val="24"/>
          <w:szCs w:val="24"/>
        </w:rPr>
        <w:t>(bao gồm phân tích cả mối liên quan với những chính sách ràng buộc khác như Luật quản lý thuế, Luật thuế tài nguyên, Luật đất đai, Luật đấu giá,…)</w:t>
      </w:r>
      <w:r w:rsidR="006B7C93" w:rsidRPr="009132EA">
        <w:rPr>
          <w:rFonts w:ascii="Times New Roman" w:hAnsi="Times New Roman" w:cs="Times New Roman"/>
          <w:sz w:val="24"/>
          <w:szCs w:val="24"/>
        </w:rPr>
        <w:t xml:space="preserve"> từ đó xác định những </w:t>
      </w:r>
      <w:r w:rsidR="00CC74DA" w:rsidRPr="009132EA">
        <w:rPr>
          <w:rFonts w:ascii="Times New Roman" w:hAnsi="Times New Roman" w:cs="Times New Roman"/>
          <w:sz w:val="24"/>
          <w:szCs w:val="24"/>
        </w:rPr>
        <w:t>hạn chế và bất cập</w:t>
      </w:r>
      <w:r w:rsidR="006B7C93" w:rsidRPr="009132EA">
        <w:rPr>
          <w:rFonts w:ascii="Times New Roman" w:hAnsi="Times New Roman" w:cs="Times New Roman"/>
          <w:sz w:val="24"/>
          <w:szCs w:val="24"/>
        </w:rPr>
        <w:t xml:space="preserve"> về mặt chính sách liên quan đến đấu giá quyền khai thác khoáng sản và tiền cấp quyền khai thác khoáng sản;</w:t>
      </w:r>
    </w:p>
    <w:p w:rsidR="002358BC" w:rsidRPr="009132EA" w:rsidRDefault="006B7C93" w:rsidP="00334294">
      <w:pPr>
        <w:pStyle w:val="ListParagraph"/>
        <w:numPr>
          <w:ilvl w:val="0"/>
          <w:numId w:val="2"/>
        </w:numPr>
        <w:jc w:val="both"/>
        <w:rPr>
          <w:rFonts w:ascii="Times New Roman" w:hAnsi="Times New Roman" w:cs="Times New Roman"/>
          <w:sz w:val="24"/>
          <w:szCs w:val="24"/>
        </w:rPr>
      </w:pPr>
      <w:r w:rsidRPr="009132EA">
        <w:rPr>
          <w:rFonts w:ascii="Times New Roman" w:hAnsi="Times New Roman" w:cs="Times New Roman"/>
          <w:sz w:val="24"/>
          <w:szCs w:val="24"/>
        </w:rPr>
        <w:t>Đánh giá và phân tích những thuận lợi, khó khăn trong công tác đấu giá tiền cấp quyền khai thác khoáng sản, tính và thu tiền cấp quyền khai thác khoáng sản;</w:t>
      </w:r>
    </w:p>
    <w:p w:rsidR="006B7C93" w:rsidRPr="009132EA" w:rsidRDefault="006B7C93" w:rsidP="00334294">
      <w:pPr>
        <w:pStyle w:val="ListParagraph"/>
        <w:numPr>
          <w:ilvl w:val="0"/>
          <w:numId w:val="2"/>
        </w:numPr>
        <w:jc w:val="both"/>
        <w:rPr>
          <w:rFonts w:ascii="Times New Roman" w:hAnsi="Times New Roman" w:cs="Times New Roman"/>
          <w:sz w:val="24"/>
          <w:szCs w:val="24"/>
        </w:rPr>
      </w:pPr>
      <w:r w:rsidRPr="009132EA">
        <w:rPr>
          <w:rFonts w:ascii="Times New Roman" w:hAnsi="Times New Roman" w:cs="Times New Roman"/>
          <w:sz w:val="24"/>
          <w:szCs w:val="24"/>
        </w:rPr>
        <w:t xml:space="preserve">Đề xuất các định hướng chính sách phù hợp nhằm thực thi hiệu quả đấu giá quyền khai thác khoáng sản và </w:t>
      </w:r>
      <w:r w:rsidR="00CC74DA" w:rsidRPr="009132EA">
        <w:rPr>
          <w:rFonts w:ascii="Times New Roman" w:hAnsi="Times New Roman" w:cs="Times New Roman"/>
          <w:sz w:val="24"/>
          <w:szCs w:val="24"/>
        </w:rPr>
        <w:t>tiền cấp quyền khai thác khoáng sản tạo chuyển biến tích cực và minh bạch trong cấp phép hoạt động khoáng sản đồng thời góp phần tăng thu ngân sách.</w:t>
      </w:r>
    </w:p>
    <w:p w:rsidR="00CC74DA" w:rsidRPr="009132EA" w:rsidRDefault="00CC74DA" w:rsidP="00CC74DA">
      <w:pPr>
        <w:jc w:val="both"/>
        <w:rPr>
          <w:rFonts w:ascii="Times New Roman" w:hAnsi="Times New Roman" w:cs="Times New Roman"/>
          <w:b/>
          <w:sz w:val="24"/>
          <w:szCs w:val="24"/>
        </w:rPr>
      </w:pPr>
      <w:r w:rsidRPr="009132EA">
        <w:rPr>
          <w:rFonts w:ascii="Times New Roman" w:hAnsi="Times New Roman" w:cs="Times New Roman"/>
          <w:b/>
          <w:sz w:val="24"/>
          <w:szCs w:val="24"/>
        </w:rPr>
        <w:t>Yêu cầu sản phẩm</w:t>
      </w:r>
    </w:p>
    <w:p w:rsidR="00CC74DA" w:rsidRPr="009132EA" w:rsidRDefault="00B17829" w:rsidP="00B17829">
      <w:pPr>
        <w:pStyle w:val="ListParagraph"/>
        <w:numPr>
          <w:ilvl w:val="0"/>
          <w:numId w:val="3"/>
        </w:numPr>
        <w:jc w:val="both"/>
        <w:rPr>
          <w:rFonts w:ascii="Times New Roman" w:hAnsi="Times New Roman" w:cs="Times New Roman"/>
          <w:sz w:val="24"/>
          <w:szCs w:val="24"/>
        </w:rPr>
      </w:pPr>
      <w:bookmarkStart w:id="2" w:name="_Hlk60220305"/>
      <w:r w:rsidRPr="009132EA">
        <w:rPr>
          <w:rFonts w:ascii="Times New Roman" w:hAnsi="Times New Roman" w:cs="Times New Roman"/>
          <w:sz w:val="24"/>
          <w:szCs w:val="24"/>
        </w:rPr>
        <w:t xml:space="preserve">01 </w:t>
      </w:r>
      <w:r w:rsidR="00496E7C" w:rsidRPr="009132EA">
        <w:rPr>
          <w:rFonts w:ascii="Times New Roman" w:hAnsi="Times New Roman" w:cs="Times New Roman"/>
          <w:sz w:val="24"/>
          <w:szCs w:val="24"/>
        </w:rPr>
        <w:t>đ</w:t>
      </w:r>
      <w:r w:rsidRPr="009132EA">
        <w:rPr>
          <w:rFonts w:ascii="Times New Roman" w:hAnsi="Times New Roman" w:cs="Times New Roman"/>
          <w:sz w:val="24"/>
          <w:szCs w:val="24"/>
        </w:rPr>
        <w:t>ề cương nghiên cứu</w:t>
      </w:r>
      <w:bookmarkEnd w:id="2"/>
      <w:r w:rsidRPr="009132EA">
        <w:rPr>
          <w:rFonts w:ascii="Times New Roman" w:hAnsi="Times New Roman" w:cs="Times New Roman"/>
          <w:sz w:val="24"/>
          <w:szCs w:val="24"/>
        </w:rPr>
        <w:t xml:space="preserve"> bao gồm: phương pháp thực hiện, các bước thực hiện, đối tượng, phạm vi và nội dung nghiên cứu;</w:t>
      </w:r>
    </w:p>
    <w:p w:rsidR="00B17829" w:rsidRPr="009132EA" w:rsidRDefault="00B17829" w:rsidP="00B17829">
      <w:pPr>
        <w:pStyle w:val="ListParagraph"/>
        <w:numPr>
          <w:ilvl w:val="0"/>
          <w:numId w:val="3"/>
        </w:numPr>
        <w:jc w:val="both"/>
        <w:rPr>
          <w:rFonts w:ascii="Times New Roman" w:hAnsi="Times New Roman" w:cs="Times New Roman"/>
          <w:sz w:val="24"/>
          <w:szCs w:val="24"/>
        </w:rPr>
      </w:pPr>
      <w:bookmarkStart w:id="3" w:name="_Hlk60220324"/>
      <w:r w:rsidRPr="009132EA">
        <w:rPr>
          <w:rFonts w:ascii="Times New Roman" w:hAnsi="Times New Roman" w:cs="Times New Roman"/>
          <w:sz w:val="24"/>
          <w:szCs w:val="24"/>
        </w:rPr>
        <w:t>01 báo cáo</w:t>
      </w:r>
      <w:r w:rsidR="008578C7" w:rsidRPr="009132EA">
        <w:rPr>
          <w:rFonts w:ascii="Times New Roman" w:hAnsi="Times New Roman" w:cs="Times New Roman"/>
          <w:sz w:val="24"/>
          <w:szCs w:val="24"/>
        </w:rPr>
        <w:t xml:space="preserve"> khuyến nghị</w:t>
      </w:r>
      <w:r w:rsidR="008578C7" w:rsidRPr="009132EA">
        <w:rPr>
          <w:rFonts w:ascii="Times New Roman" w:hAnsi="Times New Roman" w:cs="Times New Roman"/>
          <w:color w:val="000000"/>
          <w:sz w:val="24"/>
          <w:szCs w:val="24"/>
        </w:rPr>
        <w:t xml:space="preserve"> sửa đổi và bổ sung chính sách Luật khoáng sản liên quan đến </w:t>
      </w:r>
      <w:r w:rsidR="008578C7" w:rsidRPr="009132EA">
        <w:rPr>
          <w:rFonts w:ascii="Times New Roman" w:hAnsi="Times New Roman" w:cs="Times New Roman"/>
          <w:sz w:val="24"/>
          <w:szCs w:val="24"/>
        </w:rPr>
        <w:t>đấu giá quyền khai thác và tiền cấp quyền khai thác khoáng sản</w:t>
      </w:r>
      <w:bookmarkEnd w:id="3"/>
      <w:r w:rsidR="008578C7" w:rsidRPr="009132EA">
        <w:rPr>
          <w:rFonts w:ascii="Times New Roman" w:hAnsi="Times New Roman" w:cs="Times New Roman"/>
          <w:sz w:val="24"/>
          <w:szCs w:val="24"/>
        </w:rPr>
        <w:t>;</w:t>
      </w:r>
    </w:p>
    <w:p w:rsidR="008578C7" w:rsidRPr="009132EA" w:rsidRDefault="008578C7" w:rsidP="00B17829">
      <w:pPr>
        <w:pStyle w:val="ListParagraph"/>
        <w:numPr>
          <w:ilvl w:val="0"/>
          <w:numId w:val="3"/>
        </w:numPr>
        <w:jc w:val="both"/>
        <w:rPr>
          <w:rFonts w:ascii="Times New Roman" w:hAnsi="Times New Roman" w:cs="Times New Roman"/>
          <w:sz w:val="24"/>
          <w:szCs w:val="24"/>
        </w:rPr>
      </w:pPr>
      <w:bookmarkStart w:id="4" w:name="_Hlk60220358"/>
      <w:r w:rsidRPr="009132EA">
        <w:rPr>
          <w:rFonts w:ascii="Times New Roman" w:hAnsi="Times New Roman" w:cs="Times New Roman"/>
          <w:sz w:val="24"/>
          <w:szCs w:val="24"/>
        </w:rPr>
        <w:t>01 bản kiến nghị (tóm tắt từ báo cáo khuyến nghị) dài không quá 6 trang</w:t>
      </w:r>
      <w:bookmarkEnd w:id="4"/>
      <w:r w:rsidRPr="009132EA">
        <w:rPr>
          <w:rFonts w:ascii="Times New Roman" w:hAnsi="Times New Roman" w:cs="Times New Roman"/>
          <w:sz w:val="24"/>
          <w:szCs w:val="24"/>
        </w:rPr>
        <w:t>.</w:t>
      </w:r>
    </w:p>
    <w:p w:rsidR="008578C7" w:rsidRPr="009132EA" w:rsidRDefault="008578C7" w:rsidP="008578C7">
      <w:pPr>
        <w:jc w:val="both"/>
        <w:rPr>
          <w:rFonts w:ascii="Times New Roman" w:hAnsi="Times New Roman" w:cs="Times New Roman"/>
          <w:b/>
          <w:sz w:val="24"/>
          <w:szCs w:val="24"/>
        </w:rPr>
      </w:pPr>
      <w:r w:rsidRPr="009132EA">
        <w:rPr>
          <w:rFonts w:ascii="Times New Roman" w:hAnsi="Times New Roman" w:cs="Times New Roman"/>
          <w:b/>
          <w:sz w:val="24"/>
          <w:szCs w:val="24"/>
        </w:rPr>
        <w:t>Thời gian và kinh phí</w:t>
      </w:r>
    </w:p>
    <w:p w:rsidR="008578C7" w:rsidRPr="009132EA" w:rsidRDefault="008578C7" w:rsidP="008578C7">
      <w:pPr>
        <w:rPr>
          <w:rFonts w:ascii="Times New Roman" w:hAnsi="Times New Roman" w:cs="Times New Roman"/>
          <w:sz w:val="24"/>
          <w:szCs w:val="24"/>
        </w:rPr>
      </w:pPr>
      <w:r w:rsidRPr="009132EA">
        <w:rPr>
          <w:rFonts w:ascii="Times New Roman" w:hAnsi="Times New Roman" w:cs="Times New Roman"/>
          <w:sz w:val="24"/>
          <w:szCs w:val="24"/>
          <w:u w:val="single"/>
        </w:rPr>
        <w:t>Thời gian thực hiện</w:t>
      </w:r>
      <w:r w:rsidRPr="009132EA">
        <w:rPr>
          <w:rFonts w:ascii="Times New Roman" w:hAnsi="Times New Roman" w:cs="Times New Roman"/>
          <w:sz w:val="24"/>
          <w:szCs w:val="24"/>
        </w:rPr>
        <w:t xml:space="preserve">: từ tháng </w:t>
      </w:r>
      <w:r w:rsidR="007969E7" w:rsidRPr="009132EA">
        <w:rPr>
          <w:rFonts w:ascii="Times New Roman" w:hAnsi="Times New Roman" w:cs="Times New Roman"/>
          <w:sz w:val="24"/>
          <w:szCs w:val="24"/>
        </w:rPr>
        <w:t>1</w:t>
      </w:r>
      <w:r w:rsidRPr="009132EA">
        <w:rPr>
          <w:rFonts w:ascii="Times New Roman" w:hAnsi="Times New Roman" w:cs="Times New Roman"/>
          <w:sz w:val="24"/>
          <w:szCs w:val="24"/>
        </w:rPr>
        <w:t>/202</w:t>
      </w:r>
      <w:r w:rsidR="007969E7" w:rsidRPr="009132EA">
        <w:rPr>
          <w:rFonts w:ascii="Times New Roman" w:hAnsi="Times New Roman" w:cs="Times New Roman"/>
          <w:sz w:val="24"/>
          <w:szCs w:val="24"/>
        </w:rPr>
        <w:t>1</w:t>
      </w:r>
      <w:r w:rsidRPr="009132EA">
        <w:rPr>
          <w:rFonts w:ascii="Times New Roman" w:hAnsi="Times New Roman" w:cs="Times New Roman"/>
          <w:sz w:val="24"/>
          <w:szCs w:val="24"/>
        </w:rPr>
        <w:t xml:space="preserve"> đến </w:t>
      </w:r>
      <w:r w:rsidR="007969E7" w:rsidRPr="009132EA">
        <w:rPr>
          <w:rFonts w:ascii="Times New Roman" w:hAnsi="Times New Roman" w:cs="Times New Roman"/>
          <w:sz w:val="24"/>
          <w:szCs w:val="24"/>
        </w:rPr>
        <w:t>15</w:t>
      </w:r>
      <w:r w:rsidRPr="009132EA">
        <w:rPr>
          <w:rFonts w:ascii="Times New Roman" w:hAnsi="Times New Roman" w:cs="Times New Roman"/>
          <w:sz w:val="24"/>
          <w:szCs w:val="24"/>
        </w:rPr>
        <w:t>/5/202</w:t>
      </w:r>
      <w:r w:rsidR="00A575FE" w:rsidRPr="009132EA">
        <w:rPr>
          <w:rFonts w:ascii="Times New Roman" w:hAnsi="Times New Roman" w:cs="Times New Roman"/>
          <w:sz w:val="24"/>
          <w:szCs w:val="24"/>
        </w:rPr>
        <w:t>1</w:t>
      </w:r>
      <w:r w:rsidRPr="009132EA">
        <w:rPr>
          <w:rFonts w:ascii="Times New Roman" w:hAnsi="Times New Roman" w:cs="Times New Roman"/>
          <w:sz w:val="24"/>
          <w:szCs w:val="24"/>
        </w:rPr>
        <w:t xml:space="preserve"> </w:t>
      </w:r>
    </w:p>
    <w:p w:rsidR="008578C7" w:rsidRPr="009132EA" w:rsidRDefault="008578C7" w:rsidP="00A575FE">
      <w:pPr>
        <w:jc w:val="both"/>
        <w:rPr>
          <w:rFonts w:ascii="Times New Roman" w:hAnsi="Times New Roman" w:cs="Times New Roman"/>
          <w:noProof/>
          <w:sz w:val="24"/>
          <w:szCs w:val="24"/>
        </w:rPr>
      </w:pPr>
      <w:r w:rsidRPr="009132EA">
        <w:rPr>
          <w:rFonts w:ascii="Times New Roman" w:hAnsi="Times New Roman" w:cs="Times New Roman"/>
          <w:sz w:val="24"/>
          <w:szCs w:val="24"/>
          <w:u w:val="single"/>
        </w:rPr>
        <w:t>Kinh phí</w:t>
      </w:r>
      <w:r w:rsidRPr="009132EA">
        <w:rPr>
          <w:rFonts w:ascii="Times New Roman" w:hAnsi="Times New Roman" w:cs="Times New Roman"/>
          <w:sz w:val="24"/>
          <w:szCs w:val="24"/>
        </w:rPr>
        <w:t xml:space="preserve">: Các kinh phí cho chuyên gia thực hiện hoạt động sẽ do Trung tâm Con người và Thiên nhiên (PanNature) chịu trách nhiệm chi trả theo đúng Quy định Tài chính hiện hành của Trung tâm. </w:t>
      </w:r>
    </w:p>
    <w:p w:rsidR="008578C7" w:rsidRPr="009132EA" w:rsidRDefault="008578C7" w:rsidP="00A575FE">
      <w:pPr>
        <w:jc w:val="both"/>
        <w:rPr>
          <w:rFonts w:ascii="Times New Roman" w:hAnsi="Times New Roman" w:cs="Times New Roman"/>
          <w:sz w:val="24"/>
          <w:szCs w:val="24"/>
        </w:rPr>
      </w:pPr>
      <w:r w:rsidRPr="009132EA">
        <w:rPr>
          <w:rFonts w:ascii="Times New Roman" w:hAnsi="Times New Roman" w:cs="Times New Roman"/>
          <w:sz w:val="24"/>
          <w:szCs w:val="24"/>
        </w:rPr>
        <w:t xml:space="preserve">Nội dung và kế hoạch chi tiết thực hiện ở bảng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4401"/>
        <w:gridCol w:w="2076"/>
        <w:gridCol w:w="1136"/>
        <w:gridCol w:w="839"/>
      </w:tblGrid>
      <w:tr w:rsidR="00496E7C" w:rsidRPr="009132EA" w:rsidTr="00A923AC">
        <w:trPr>
          <w:trHeight w:val="693"/>
        </w:trPr>
        <w:tc>
          <w:tcPr>
            <w:tcW w:w="918" w:type="dxa"/>
            <w:tcBorders>
              <w:bottom w:val="single" w:sz="4" w:space="0" w:color="auto"/>
            </w:tcBorders>
            <w:shd w:val="clear" w:color="auto" w:fill="A6A6A6"/>
          </w:tcPr>
          <w:p w:rsidR="00496E7C" w:rsidRPr="009132EA" w:rsidRDefault="00496E7C" w:rsidP="00A923AC">
            <w:pPr>
              <w:jc w:val="center"/>
              <w:rPr>
                <w:rFonts w:ascii="Times New Roman" w:hAnsi="Times New Roman" w:cs="Times New Roman"/>
              </w:rPr>
            </w:pPr>
            <w:r w:rsidRPr="009132EA">
              <w:rPr>
                <w:rFonts w:ascii="Times New Roman" w:hAnsi="Times New Roman" w:cs="Times New Roman"/>
              </w:rPr>
              <w:lastRenderedPageBreak/>
              <w:t>STT</w:t>
            </w:r>
          </w:p>
        </w:tc>
        <w:tc>
          <w:tcPr>
            <w:tcW w:w="4500" w:type="dxa"/>
            <w:tcBorders>
              <w:bottom w:val="single" w:sz="4" w:space="0" w:color="auto"/>
            </w:tcBorders>
            <w:shd w:val="clear" w:color="auto" w:fill="A6A6A6"/>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Hoạt động</w:t>
            </w:r>
          </w:p>
        </w:tc>
        <w:tc>
          <w:tcPr>
            <w:tcW w:w="2108" w:type="dxa"/>
            <w:tcBorders>
              <w:bottom w:val="single" w:sz="4" w:space="0" w:color="auto"/>
            </w:tcBorders>
            <w:shd w:val="clear" w:color="auto" w:fill="A6A6A6"/>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Thời gian hoàn thành</w:t>
            </w:r>
          </w:p>
        </w:tc>
        <w:tc>
          <w:tcPr>
            <w:tcW w:w="1144" w:type="dxa"/>
            <w:tcBorders>
              <w:bottom w:val="single" w:sz="4" w:space="0" w:color="auto"/>
            </w:tcBorders>
            <w:shd w:val="clear" w:color="auto" w:fill="A6A6A6"/>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Địa điểm</w:t>
            </w:r>
          </w:p>
        </w:tc>
        <w:tc>
          <w:tcPr>
            <w:tcW w:w="842" w:type="dxa"/>
            <w:tcBorders>
              <w:bottom w:val="single" w:sz="4" w:space="0" w:color="auto"/>
            </w:tcBorders>
            <w:shd w:val="clear" w:color="auto" w:fill="A6A6A6"/>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Ngày công</w:t>
            </w:r>
          </w:p>
        </w:tc>
      </w:tr>
      <w:tr w:rsidR="00496E7C" w:rsidRPr="009132EA" w:rsidTr="00A923AC">
        <w:trPr>
          <w:trHeight w:val="264"/>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1</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Xây dựng đề cương nghiên cứu và đánh giá; </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Tuần 2, tháng 1</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Hà Nội </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2</w:t>
            </w:r>
          </w:p>
        </w:tc>
      </w:tr>
      <w:tr w:rsidR="00496E7C" w:rsidRPr="009132EA" w:rsidTr="00A923AC">
        <w:trPr>
          <w:trHeight w:val="264"/>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2</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Rà soát tài liệu và thu thập thông tin</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Tuần 2, tháng 1</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Hà Nội </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2</w:t>
            </w:r>
          </w:p>
        </w:tc>
      </w:tr>
      <w:tr w:rsidR="00496E7C" w:rsidRPr="009132EA" w:rsidTr="00A923AC">
        <w:trPr>
          <w:trHeight w:val="264"/>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3</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Xây dựng phần tổng quan nghiên cứu và rà soát chính sách</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Tuần </w:t>
            </w:r>
            <w:r w:rsidRPr="009132EA">
              <w:rPr>
                <w:rFonts w:ascii="Times New Roman" w:hAnsi="Times New Roman" w:cs="Times New Roman"/>
              </w:rPr>
              <w:t>3-4</w:t>
            </w:r>
            <w:r w:rsidRPr="009132EA">
              <w:rPr>
                <w:rFonts w:ascii="Times New Roman" w:hAnsi="Times New Roman" w:cs="Times New Roman"/>
                <w:sz w:val="24"/>
                <w:szCs w:val="24"/>
              </w:rPr>
              <w:t xml:space="preserve">, tháng </w:t>
            </w:r>
            <w:r w:rsidRPr="009132EA">
              <w:rPr>
                <w:rFonts w:ascii="Times New Roman" w:hAnsi="Times New Roman" w:cs="Times New Roman"/>
              </w:rPr>
              <w:t>1</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Hà Nội</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2</w:t>
            </w:r>
          </w:p>
        </w:tc>
      </w:tr>
      <w:tr w:rsidR="00496E7C" w:rsidRPr="009132EA" w:rsidTr="00A923AC">
        <w:trPr>
          <w:trHeight w:val="264"/>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4</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Xây dựng nội dung và chương trình thực địa, tham vấn, thu thập thông tin, dữ liệu </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Tuần </w:t>
            </w:r>
            <w:r w:rsidRPr="009132EA">
              <w:rPr>
                <w:rFonts w:ascii="Times New Roman" w:hAnsi="Times New Roman" w:cs="Times New Roman"/>
              </w:rPr>
              <w:t>4</w:t>
            </w:r>
            <w:r w:rsidRPr="009132EA">
              <w:rPr>
                <w:rFonts w:ascii="Times New Roman" w:hAnsi="Times New Roman" w:cs="Times New Roman"/>
                <w:sz w:val="24"/>
                <w:szCs w:val="24"/>
              </w:rPr>
              <w:t xml:space="preserve">, tháng </w:t>
            </w:r>
            <w:r w:rsidRPr="009132EA">
              <w:rPr>
                <w:rFonts w:ascii="Times New Roman" w:hAnsi="Times New Roman" w:cs="Times New Roman"/>
              </w:rPr>
              <w:t>2</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Hà Nội </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2</w:t>
            </w:r>
          </w:p>
        </w:tc>
      </w:tr>
      <w:tr w:rsidR="00496E7C" w:rsidRPr="009132EA" w:rsidTr="00A923AC">
        <w:trPr>
          <w:trHeight w:val="173"/>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5</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Tổ chức tham vấn và thu thập thông tin tại cấp quốc gia và địa phương</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Tuần 3 tháng 3 – Tuần 2 tháng 4</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Quảng Trị, </w:t>
            </w:r>
          </w:p>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Yên Bái </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8</w:t>
            </w:r>
          </w:p>
        </w:tc>
      </w:tr>
      <w:tr w:rsidR="00496E7C" w:rsidRPr="009132EA" w:rsidTr="00A923AC">
        <w:trPr>
          <w:trHeight w:val="173"/>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6</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Tổng hợp, phân tích kết quả và </w:t>
            </w:r>
            <w:r w:rsidRPr="009132EA">
              <w:rPr>
                <w:rFonts w:ascii="Times New Roman" w:hAnsi="Times New Roman" w:cs="Times New Roman"/>
              </w:rPr>
              <w:t>hoàn thiện</w:t>
            </w:r>
            <w:r w:rsidRPr="009132EA">
              <w:rPr>
                <w:rFonts w:ascii="Times New Roman" w:hAnsi="Times New Roman" w:cs="Times New Roman"/>
                <w:sz w:val="24"/>
                <w:szCs w:val="24"/>
              </w:rPr>
              <w:t xml:space="preserve"> báo cáo </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color w:val="000000"/>
                <w:sz w:val="24"/>
                <w:szCs w:val="24"/>
              </w:rPr>
              <w:t>Tuần 3-4 tháng 4</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 xml:space="preserve">Hà Nội </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5</w:t>
            </w:r>
          </w:p>
        </w:tc>
      </w:tr>
      <w:tr w:rsidR="00496E7C" w:rsidRPr="009132EA" w:rsidTr="00A923AC">
        <w:trPr>
          <w:trHeight w:val="173"/>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7</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Báo cáo tóm tắt (tối đa 6 trang)</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color w:val="000000"/>
                <w:sz w:val="24"/>
                <w:szCs w:val="24"/>
              </w:rPr>
              <w:t>Tuần 1,Tháng 5</w:t>
            </w: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Hà Nội</w:t>
            </w: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2</w:t>
            </w:r>
          </w:p>
        </w:tc>
      </w:tr>
      <w:tr w:rsidR="00496E7C" w:rsidRPr="009132EA" w:rsidTr="00A923AC">
        <w:trPr>
          <w:trHeight w:val="173"/>
        </w:trPr>
        <w:tc>
          <w:tcPr>
            <w:tcW w:w="918" w:type="dxa"/>
            <w:tcBorders>
              <w:top w:val="single" w:sz="4" w:space="0" w:color="auto"/>
              <w:bottom w:val="single" w:sz="4" w:space="0" w:color="auto"/>
            </w:tcBorders>
          </w:tcPr>
          <w:p w:rsidR="00496E7C" w:rsidRPr="009132EA" w:rsidRDefault="00496E7C" w:rsidP="00A923AC">
            <w:pPr>
              <w:rPr>
                <w:rFonts w:ascii="Times New Roman" w:hAnsi="Times New Roman" w:cs="Times New Roman"/>
              </w:rPr>
            </w:pPr>
            <w:r w:rsidRPr="009132EA">
              <w:rPr>
                <w:rFonts w:ascii="Times New Roman" w:hAnsi="Times New Roman" w:cs="Times New Roman"/>
              </w:rPr>
              <w:t>8</w:t>
            </w:r>
          </w:p>
        </w:tc>
        <w:tc>
          <w:tcPr>
            <w:tcW w:w="4500"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r w:rsidRPr="009132EA">
              <w:rPr>
                <w:rFonts w:ascii="Times New Roman" w:hAnsi="Times New Roman" w:cs="Times New Roman"/>
                <w:sz w:val="24"/>
                <w:szCs w:val="24"/>
              </w:rPr>
              <w:t>Chia sẻ, trình bày kết quả nghiên cứu tại các hội thảo/diễn đàn (nếu có)</w:t>
            </w:r>
          </w:p>
        </w:tc>
        <w:tc>
          <w:tcPr>
            <w:tcW w:w="2108" w:type="dxa"/>
            <w:tcBorders>
              <w:top w:val="single" w:sz="4" w:space="0" w:color="auto"/>
              <w:bottom w:val="single" w:sz="4" w:space="0" w:color="auto"/>
            </w:tcBorders>
            <w:vAlign w:val="center"/>
          </w:tcPr>
          <w:p w:rsidR="00496E7C" w:rsidRPr="009132EA" w:rsidRDefault="00496E7C" w:rsidP="00A923AC">
            <w:pPr>
              <w:rPr>
                <w:rFonts w:ascii="Times New Roman" w:hAnsi="Times New Roman" w:cs="Times New Roman"/>
                <w:color w:val="000000"/>
                <w:sz w:val="24"/>
                <w:szCs w:val="24"/>
              </w:rPr>
            </w:pPr>
          </w:p>
        </w:tc>
        <w:tc>
          <w:tcPr>
            <w:tcW w:w="1144" w:type="dxa"/>
            <w:tcBorders>
              <w:top w:val="single" w:sz="4" w:space="0" w:color="auto"/>
              <w:bottom w:val="single" w:sz="4" w:space="0" w:color="auto"/>
            </w:tcBorders>
          </w:tcPr>
          <w:p w:rsidR="00496E7C" w:rsidRPr="009132EA" w:rsidRDefault="00496E7C" w:rsidP="00A923AC">
            <w:pPr>
              <w:rPr>
                <w:rFonts w:ascii="Times New Roman" w:hAnsi="Times New Roman" w:cs="Times New Roman"/>
                <w:sz w:val="24"/>
                <w:szCs w:val="24"/>
              </w:rPr>
            </w:pPr>
          </w:p>
        </w:tc>
        <w:tc>
          <w:tcPr>
            <w:tcW w:w="842" w:type="dxa"/>
            <w:tcBorders>
              <w:top w:val="single" w:sz="4" w:space="0" w:color="auto"/>
              <w:bottom w:val="single" w:sz="4" w:space="0" w:color="auto"/>
            </w:tcBorders>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0</w:t>
            </w:r>
          </w:p>
        </w:tc>
      </w:tr>
      <w:tr w:rsidR="00496E7C" w:rsidRPr="009132EA" w:rsidTr="00A923AC">
        <w:trPr>
          <w:trHeight w:val="173"/>
        </w:trPr>
        <w:tc>
          <w:tcPr>
            <w:tcW w:w="918" w:type="dxa"/>
            <w:tcBorders>
              <w:top w:val="single" w:sz="4" w:space="0" w:color="auto"/>
              <w:bottom w:val="single" w:sz="4" w:space="0" w:color="auto"/>
            </w:tcBorders>
            <w:shd w:val="clear" w:color="auto" w:fill="A6A6A6"/>
          </w:tcPr>
          <w:p w:rsidR="00496E7C" w:rsidRPr="009132EA" w:rsidRDefault="00496E7C" w:rsidP="00A923AC">
            <w:pPr>
              <w:rPr>
                <w:rFonts w:ascii="Times New Roman" w:hAnsi="Times New Roman" w:cs="Times New Roman"/>
                <w:b/>
              </w:rPr>
            </w:pPr>
          </w:p>
        </w:tc>
        <w:tc>
          <w:tcPr>
            <w:tcW w:w="4500" w:type="dxa"/>
            <w:tcBorders>
              <w:top w:val="single" w:sz="4" w:space="0" w:color="auto"/>
              <w:bottom w:val="single" w:sz="4" w:space="0" w:color="auto"/>
            </w:tcBorders>
            <w:shd w:val="clear" w:color="auto" w:fill="A6A6A6"/>
          </w:tcPr>
          <w:p w:rsidR="00496E7C" w:rsidRPr="009132EA" w:rsidRDefault="00496E7C" w:rsidP="00A923AC">
            <w:pPr>
              <w:rPr>
                <w:rFonts w:ascii="Times New Roman" w:hAnsi="Times New Roman" w:cs="Times New Roman"/>
                <w:b/>
                <w:sz w:val="24"/>
                <w:szCs w:val="24"/>
              </w:rPr>
            </w:pPr>
            <w:r w:rsidRPr="009132EA">
              <w:rPr>
                <w:rFonts w:ascii="Times New Roman" w:hAnsi="Times New Roman" w:cs="Times New Roman"/>
                <w:b/>
                <w:sz w:val="24"/>
                <w:szCs w:val="24"/>
              </w:rPr>
              <w:t xml:space="preserve">Tổng </w:t>
            </w:r>
          </w:p>
        </w:tc>
        <w:tc>
          <w:tcPr>
            <w:tcW w:w="2108" w:type="dxa"/>
            <w:tcBorders>
              <w:top w:val="single" w:sz="4" w:space="0" w:color="auto"/>
              <w:bottom w:val="single" w:sz="4" w:space="0" w:color="auto"/>
            </w:tcBorders>
            <w:shd w:val="clear" w:color="auto" w:fill="A6A6A6"/>
          </w:tcPr>
          <w:p w:rsidR="00496E7C" w:rsidRPr="009132EA" w:rsidRDefault="00496E7C" w:rsidP="00A923AC">
            <w:pPr>
              <w:rPr>
                <w:rFonts w:ascii="Times New Roman" w:hAnsi="Times New Roman" w:cs="Times New Roman"/>
                <w:sz w:val="24"/>
                <w:szCs w:val="24"/>
              </w:rPr>
            </w:pPr>
          </w:p>
        </w:tc>
        <w:tc>
          <w:tcPr>
            <w:tcW w:w="1144" w:type="dxa"/>
            <w:tcBorders>
              <w:top w:val="single" w:sz="4" w:space="0" w:color="auto"/>
              <w:bottom w:val="single" w:sz="4" w:space="0" w:color="auto"/>
            </w:tcBorders>
            <w:shd w:val="clear" w:color="auto" w:fill="A6A6A6"/>
          </w:tcPr>
          <w:p w:rsidR="00496E7C" w:rsidRPr="009132EA" w:rsidRDefault="00496E7C" w:rsidP="00A923AC">
            <w:pPr>
              <w:rPr>
                <w:rFonts w:ascii="Times New Roman" w:hAnsi="Times New Roman" w:cs="Times New Roman"/>
                <w:sz w:val="24"/>
                <w:szCs w:val="24"/>
              </w:rPr>
            </w:pPr>
          </w:p>
        </w:tc>
        <w:tc>
          <w:tcPr>
            <w:tcW w:w="842" w:type="dxa"/>
            <w:tcBorders>
              <w:top w:val="single" w:sz="4" w:space="0" w:color="auto"/>
              <w:bottom w:val="single" w:sz="4" w:space="0" w:color="auto"/>
            </w:tcBorders>
            <w:shd w:val="clear" w:color="auto" w:fill="A6A6A6"/>
            <w:vAlign w:val="center"/>
          </w:tcPr>
          <w:p w:rsidR="00496E7C" w:rsidRPr="009132EA" w:rsidRDefault="00496E7C" w:rsidP="00A923AC">
            <w:pPr>
              <w:jc w:val="center"/>
              <w:rPr>
                <w:rFonts w:ascii="Times New Roman" w:hAnsi="Times New Roman" w:cs="Times New Roman"/>
                <w:sz w:val="24"/>
                <w:szCs w:val="24"/>
              </w:rPr>
            </w:pPr>
            <w:r w:rsidRPr="009132EA">
              <w:rPr>
                <w:rFonts w:ascii="Times New Roman" w:hAnsi="Times New Roman" w:cs="Times New Roman"/>
                <w:sz w:val="24"/>
                <w:szCs w:val="24"/>
              </w:rPr>
              <w:t>23</w:t>
            </w:r>
          </w:p>
        </w:tc>
      </w:tr>
    </w:tbl>
    <w:p w:rsidR="008578C7" w:rsidRPr="009132EA" w:rsidRDefault="008578C7" w:rsidP="008578C7">
      <w:pPr>
        <w:jc w:val="both"/>
        <w:rPr>
          <w:rFonts w:ascii="Times New Roman" w:hAnsi="Times New Roman" w:cs="Times New Roman"/>
          <w:b/>
          <w:sz w:val="24"/>
          <w:szCs w:val="24"/>
        </w:rPr>
      </w:pPr>
    </w:p>
    <w:p w:rsidR="00716596" w:rsidRPr="009132EA" w:rsidRDefault="00716596" w:rsidP="00716596">
      <w:pPr>
        <w:rPr>
          <w:rFonts w:ascii="Times New Roman" w:hAnsi="Times New Roman" w:cs="Times New Roman"/>
          <w:b/>
          <w:sz w:val="24"/>
          <w:szCs w:val="24"/>
        </w:rPr>
      </w:pPr>
      <w:r w:rsidRPr="009132EA">
        <w:rPr>
          <w:rFonts w:ascii="Times New Roman" w:hAnsi="Times New Roman" w:cs="Times New Roman"/>
          <w:b/>
          <w:sz w:val="24"/>
          <w:szCs w:val="24"/>
        </w:rPr>
        <w:t xml:space="preserve">6. Yêu cầu đối với trình độ năng lực của chuyên gia </w:t>
      </w:r>
    </w:p>
    <w:p w:rsidR="00716596" w:rsidRPr="009132EA" w:rsidRDefault="00716596" w:rsidP="00716596">
      <w:pPr>
        <w:pStyle w:val="ListParagraph"/>
        <w:numPr>
          <w:ilvl w:val="0"/>
          <w:numId w:val="4"/>
        </w:numPr>
        <w:spacing w:before="60" w:after="60" w:line="256" w:lineRule="auto"/>
        <w:ind w:left="360"/>
        <w:jc w:val="both"/>
        <w:rPr>
          <w:rFonts w:ascii="Times New Roman" w:hAnsi="Times New Roman" w:cs="Times New Roman"/>
          <w:sz w:val="24"/>
          <w:szCs w:val="24"/>
        </w:rPr>
      </w:pPr>
      <w:r w:rsidRPr="009132EA">
        <w:rPr>
          <w:rFonts w:ascii="Times New Roman" w:hAnsi="Times New Roman" w:cs="Times New Roman"/>
          <w:color w:val="000000" w:themeColor="text1"/>
          <w:sz w:val="24"/>
          <w:szCs w:val="24"/>
          <w:lang w:val="nl-NL"/>
        </w:rPr>
        <w:t>Có kinh nghiệm trên 10 năm liên quan đến chuyên môn lĩnh vực địa chất khoáng sản, đặc biệt liên quan đến các chính sách kinh tế địa chất khoảng sản, kinh tế mỏ v.v;</w:t>
      </w:r>
    </w:p>
    <w:p w:rsidR="00716596" w:rsidRPr="009132EA" w:rsidRDefault="00716596" w:rsidP="00716596">
      <w:pPr>
        <w:pStyle w:val="ListParagraph"/>
        <w:numPr>
          <w:ilvl w:val="0"/>
          <w:numId w:val="4"/>
        </w:numPr>
        <w:spacing w:before="60" w:after="60" w:line="240" w:lineRule="auto"/>
        <w:ind w:left="360"/>
        <w:jc w:val="both"/>
        <w:rPr>
          <w:rFonts w:ascii="Times New Roman" w:hAnsi="Times New Roman" w:cs="Times New Roman"/>
          <w:color w:val="000000" w:themeColor="text1"/>
          <w:sz w:val="24"/>
          <w:szCs w:val="24"/>
          <w:lang w:val="nl-NL"/>
        </w:rPr>
      </w:pPr>
      <w:r w:rsidRPr="009132EA">
        <w:rPr>
          <w:rFonts w:ascii="Times New Roman" w:hAnsi="Times New Roman" w:cs="Times New Roman"/>
          <w:color w:val="000000" w:themeColor="text1"/>
          <w:sz w:val="24"/>
          <w:szCs w:val="24"/>
          <w:lang w:val="nl-NL"/>
        </w:rPr>
        <w:t>Có kinh nghiệm thực tế và hiểu biết sâu về chính sách, văn bản pháp luật, cơ cấu tổ chức đối với ngành khoáng sản (chính sách cấp quyền khai thác, chính sách tính và thu tiền cấp quyền khai thác khoáng sản, thuế tài nguyên, phí bảo vệ môi trường trong khai thác khoáng sản, các chính sách liên quan đến cấp phép hoạt động khai khoáng,...);</w:t>
      </w:r>
    </w:p>
    <w:p w:rsidR="00716596" w:rsidRPr="009132EA" w:rsidRDefault="00716596" w:rsidP="00716596">
      <w:pPr>
        <w:pStyle w:val="ListParagraph"/>
        <w:numPr>
          <w:ilvl w:val="0"/>
          <w:numId w:val="4"/>
        </w:numPr>
        <w:spacing w:before="60" w:after="60" w:line="240" w:lineRule="auto"/>
        <w:ind w:left="360"/>
        <w:jc w:val="both"/>
        <w:rPr>
          <w:rFonts w:ascii="Times New Roman" w:hAnsi="Times New Roman" w:cs="Times New Roman"/>
          <w:color w:val="000000" w:themeColor="text1"/>
          <w:sz w:val="24"/>
          <w:szCs w:val="24"/>
          <w:lang w:val="nl-NL"/>
        </w:rPr>
      </w:pPr>
      <w:r w:rsidRPr="009132EA">
        <w:rPr>
          <w:rFonts w:ascii="Times New Roman" w:hAnsi="Times New Roman" w:cs="Times New Roman"/>
          <w:color w:val="000000" w:themeColor="text1"/>
          <w:sz w:val="24"/>
          <w:szCs w:val="24"/>
          <w:lang w:val="nl-NL"/>
        </w:rPr>
        <w:t xml:space="preserve">Có kinh nghiệm làm </w:t>
      </w:r>
      <w:r w:rsidR="008060A1" w:rsidRPr="009132EA">
        <w:rPr>
          <w:rFonts w:ascii="Times New Roman" w:hAnsi="Times New Roman" w:cs="Times New Roman"/>
          <w:color w:val="000000" w:themeColor="text1"/>
          <w:sz w:val="24"/>
          <w:szCs w:val="24"/>
          <w:lang w:val="nl-NL"/>
        </w:rPr>
        <w:t xml:space="preserve">trưởng nhóm nghiên cứu và kinh nghiệm làm </w:t>
      </w:r>
      <w:r w:rsidRPr="009132EA">
        <w:rPr>
          <w:rFonts w:ascii="Times New Roman" w:hAnsi="Times New Roman" w:cs="Times New Roman"/>
          <w:color w:val="000000" w:themeColor="text1"/>
          <w:sz w:val="24"/>
          <w:szCs w:val="24"/>
          <w:lang w:val="nl-NL"/>
        </w:rPr>
        <w:t>việc với các đơn vị của Bộ TNMT, Tổng Cục địa chất và khoáng sản Việt Nam, Tổng cục thuế, các địa phương có khai thác khoáng sản và các tổ chức quốc tế, NGOs, v.v;</w:t>
      </w:r>
    </w:p>
    <w:p w:rsidR="00716596" w:rsidRPr="009132EA" w:rsidRDefault="00716596" w:rsidP="00716596">
      <w:pPr>
        <w:pStyle w:val="ListParagraph"/>
        <w:numPr>
          <w:ilvl w:val="0"/>
          <w:numId w:val="4"/>
        </w:numPr>
        <w:spacing w:before="60" w:after="60" w:line="276" w:lineRule="auto"/>
        <w:ind w:left="360"/>
        <w:jc w:val="both"/>
        <w:rPr>
          <w:rFonts w:ascii="Times New Roman" w:hAnsi="Times New Roman" w:cs="Times New Roman"/>
          <w:sz w:val="24"/>
          <w:szCs w:val="24"/>
          <w:lang w:val="nl-NL"/>
        </w:rPr>
      </w:pPr>
      <w:r w:rsidRPr="009132EA">
        <w:rPr>
          <w:rFonts w:ascii="Times New Roman" w:hAnsi="Times New Roman" w:cs="Times New Roman"/>
          <w:sz w:val="24"/>
          <w:szCs w:val="24"/>
          <w:lang w:val="nl-NL"/>
        </w:rPr>
        <w:t xml:space="preserve">Có kỹ năng thu thập và phân tích số liệu, phân tích chính sách trong lĩnh vực </w:t>
      </w:r>
      <w:r w:rsidR="00382208" w:rsidRPr="009132EA">
        <w:rPr>
          <w:rFonts w:ascii="Times New Roman" w:hAnsi="Times New Roman" w:cs="Times New Roman"/>
          <w:sz w:val="24"/>
          <w:szCs w:val="24"/>
          <w:lang w:val="nl-NL"/>
        </w:rPr>
        <w:t>khai khoáng</w:t>
      </w:r>
      <w:r w:rsidRPr="009132EA">
        <w:rPr>
          <w:rFonts w:ascii="Times New Roman" w:hAnsi="Times New Roman" w:cs="Times New Roman"/>
          <w:sz w:val="24"/>
          <w:szCs w:val="24"/>
          <w:lang w:val="nl-NL"/>
        </w:rPr>
        <w:t xml:space="preserve">; chính sách đầu tư </w:t>
      </w:r>
      <w:r w:rsidR="007F0DEC" w:rsidRPr="009132EA">
        <w:rPr>
          <w:rFonts w:ascii="Times New Roman" w:hAnsi="Times New Roman" w:cs="Times New Roman"/>
          <w:sz w:val="24"/>
          <w:szCs w:val="24"/>
          <w:lang w:val="nl-NL"/>
        </w:rPr>
        <w:t>thăm dò và khai thác khoáng sản, chính sách thu thuế, phí và phân bổ nguồn thu.</w:t>
      </w:r>
    </w:p>
    <w:p w:rsidR="00716596" w:rsidRPr="009132EA" w:rsidRDefault="00716596" w:rsidP="00716596">
      <w:pPr>
        <w:pStyle w:val="ListParagraph"/>
        <w:numPr>
          <w:ilvl w:val="0"/>
          <w:numId w:val="4"/>
        </w:numPr>
        <w:spacing w:before="60" w:after="60" w:line="276" w:lineRule="auto"/>
        <w:ind w:left="360"/>
        <w:jc w:val="both"/>
        <w:rPr>
          <w:rFonts w:ascii="Times New Roman" w:hAnsi="Times New Roman" w:cs="Times New Roman"/>
          <w:sz w:val="24"/>
          <w:szCs w:val="24"/>
          <w:lang w:val="nl-NL"/>
        </w:rPr>
      </w:pPr>
      <w:r w:rsidRPr="009132EA">
        <w:rPr>
          <w:rFonts w:ascii="Times New Roman" w:hAnsi="Times New Roman" w:cs="Times New Roman"/>
          <w:color w:val="000000" w:themeColor="text1"/>
          <w:sz w:val="24"/>
          <w:szCs w:val="24"/>
          <w:lang w:val="nl-NL"/>
        </w:rPr>
        <w:t>Có kỹ năng viết báo cáo và trình bày kết quả nghiên cứu một cách rõ ràng tại hội thảo/cuộc họp;</w:t>
      </w:r>
    </w:p>
    <w:p w:rsidR="00716596" w:rsidRPr="009132EA" w:rsidRDefault="00716596" w:rsidP="00716596">
      <w:pPr>
        <w:pStyle w:val="ListParagraph"/>
        <w:numPr>
          <w:ilvl w:val="0"/>
          <w:numId w:val="4"/>
        </w:numPr>
        <w:spacing w:before="60" w:after="60" w:line="276" w:lineRule="auto"/>
        <w:ind w:left="360"/>
        <w:jc w:val="both"/>
        <w:rPr>
          <w:rFonts w:ascii="Times New Roman" w:hAnsi="Times New Roman" w:cs="Times New Roman"/>
          <w:sz w:val="24"/>
          <w:szCs w:val="24"/>
          <w:lang w:val="nl-NL"/>
        </w:rPr>
      </w:pPr>
      <w:r w:rsidRPr="009132EA">
        <w:rPr>
          <w:rFonts w:ascii="Times New Roman" w:hAnsi="Times New Roman" w:cs="Times New Roman"/>
          <w:color w:val="000000" w:themeColor="text1"/>
          <w:sz w:val="24"/>
          <w:szCs w:val="24"/>
          <w:lang w:val="nl-NL"/>
        </w:rPr>
        <w:t>Cam kết tốt về thời gian</w:t>
      </w:r>
    </w:p>
    <w:p w:rsidR="00716596" w:rsidRPr="009132EA" w:rsidRDefault="00716596" w:rsidP="00716596">
      <w:pPr>
        <w:rPr>
          <w:rFonts w:ascii="Times New Roman" w:hAnsi="Times New Roman" w:cs="Times New Roman"/>
          <w:b/>
          <w:sz w:val="24"/>
          <w:szCs w:val="24"/>
        </w:rPr>
      </w:pPr>
      <w:r w:rsidRPr="009132EA">
        <w:rPr>
          <w:rFonts w:ascii="Times New Roman" w:hAnsi="Times New Roman" w:cs="Times New Roman"/>
          <w:b/>
          <w:sz w:val="24"/>
          <w:szCs w:val="24"/>
        </w:rPr>
        <w:t xml:space="preserve">7. Cách thức thực hiện </w:t>
      </w:r>
    </w:p>
    <w:p w:rsidR="00716596" w:rsidRPr="009132EA" w:rsidRDefault="00716596" w:rsidP="00716596">
      <w:pPr>
        <w:spacing w:before="120" w:after="120"/>
        <w:jc w:val="both"/>
        <w:rPr>
          <w:rFonts w:ascii="Times New Roman" w:hAnsi="Times New Roman" w:cs="Times New Roman"/>
          <w:sz w:val="24"/>
          <w:szCs w:val="24"/>
        </w:rPr>
      </w:pPr>
      <w:r w:rsidRPr="009132EA">
        <w:rPr>
          <w:rFonts w:ascii="Times New Roman" w:hAnsi="Times New Roman" w:cs="Times New Roman"/>
          <w:sz w:val="24"/>
          <w:szCs w:val="24"/>
        </w:rPr>
        <w:t xml:space="preserve">Chuyên gia sẽ </w:t>
      </w:r>
      <w:r w:rsidR="00952A52" w:rsidRPr="009132EA">
        <w:rPr>
          <w:rFonts w:ascii="Times New Roman" w:hAnsi="Times New Roman" w:cs="Times New Roman"/>
          <w:sz w:val="24"/>
          <w:szCs w:val="24"/>
        </w:rPr>
        <w:t xml:space="preserve">làm trưởng nhóm nghiên cứu </w:t>
      </w:r>
      <w:r w:rsidRPr="009132EA">
        <w:rPr>
          <w:rFonts w:ascii="Times New Roman" w:hAnsi="Times New Roman" w:cs="Times New Roman"/>
          <w:sz w:val="24"/>
          <w:szCs w:val="24"/>
        </w:rPr>
        <w:t xml:space="preserve">phối hợp làm việc chặt chẽ về mặt chuyên môn với </w:t>
      </w:r>
      <w:r w:rsidR="008060A1" w:rsidRPr="009132EA">
        <w:rPr>
          <w:rFonts w:ascii="Times New Roman" w:hAnsi="Times New Roman" w:cs="Times New Roman"/>
          <w:sz w:val="24"/>
          <w:szCs w:val="24"/>
        </w:rPr>
        <w:t>các chuyên gia khác, với c</w:t>
      </w:r>
      <w:r w:rsidRPr="009132EA">
        <w:rPr>
          <w:rFonts w:ascii="Times New Roman" w:hAnsi="Times New Roman" w:cs="Times New Roman"/>
          <w:sz w:val="24"/>
          <w:szCs w:val="24"/>
        </w:rPr>
        <w:t>án bộ phụ trách của Trung tâm Con người và Thiên nhiên, và cán bộ</w:t>
      </w:r>
      <w:r w:rsidR="008060A1" w:rsidRPr="009132EA">
        <w:rPr>
          <w:rFonts w:ascii="Times New Roman" w:hAnsi="Times New Roman" w:cs="Times New Roman"/>
          <w:sz w:val="24"/>
          <w:szCs w:val="24"/>
        </w:rPr>
        <w:t xml:space="preserve"> của</w:t>
      </w:r>
      <w:r w:rsidRPr="009132EA">
        <w:rPr>
          <w:rFonts w:ascii="Times New Roman" w:hAnsi="Times New Roman" w:cs="Times New Roman"/>
          <w:sz w:val="24"/>
          <w:szCs w:val="24"/>
        </w:rPr>
        <w:t xml:space="preserve"> Oxfam Việt Nam </w:t>
      </w:r>
      <w:r w:rsidR="008060A1" w:rsidRPr="009132EA">
        <w:rPr>
          <w:rFonts w:ascii="Times New Roman" w:hAnsi="Times New Roman" w:cs="Times New Roman"/>
          <w:sz w:val="24"/>
          <w:szCs w:val="24"/>
        </w:rPr>
        <w:t xml:space="preserve">để </w:t>
      </w:r>
      <w:r w:rsidRPr="009132EA">
        <w:rPr>
          <w:rFonts w:ascii="Times New Roman" w:hAnsi="Times New Roman" w:cs="Times New Roman"/>
          <w:sz w:val="24"/>
          <w:szCs w:val="24"/>
        </w:rPr>
        <w:t xml:space="preserve">thực hiện những hoạt động theo chuyên môn và kế hoạch đã đề ra. </w:t>
      </w:r>
    </w:p>
    <w:p w:rsidR="00716596" w:rsidRPr="009132EA" w:rsidRDefault="00716596" w:rsidP="00716596">
      <w:pPr>
        <w:spacing w:before="120" w:after="120"/>
        <w:jc w:val="both"/>
        <w:rPr>
          <w:rFonts w:ascii="Times New Roman" w:hAnsi="Times New Roman" w:cs="Times New Roman"/>
          <w:sz w:val="24"/>
          <w:szCs w:val="24"/>
        </w:rPr>
      </w:pPr>
      <w:r w:rsidRPr="009132EA">
        <w:rPr>
          <w:rFonts w:ascii="Times New Roman" w:hAnsi="Times New Roman" w:cs="Times New Roman"/>
          <w:sz w:val="24"/>
          <w:szCs w:val="24"/>
        </w:rPr>
        <w:t xml:space="preserve">Mọi thông tin liên quan, xin vui lòng liên hệ: </w:t>
      </w:r>
    </w:p>
    <w:p w:rsidR="00716596" w:rsidRPr="009132EA" w:rsidRDefault="00716596" w:rsidP="00716596">
      <w:pPr>
        <w:spacing w:after="0"/>
        <w:jc w:val="both"/>
        <w:rPr>
          <w:rFonts w:ascii="Times New Roman" w:hAnsi="Times New Roman" w:cs="Times New Roman"/>
          <w:b/>
          <w:i/>
          <w:sz w:val="24"/>
          <w:szCs w:val="24"/>
        </w:rPr>
      </w:pPr>
    </w:p>
    <w:p w:rsidR="00716596" w:rsidRPr="009132EA" w:rsidRDefault="00716596" w:rsidP="00716596">
      <w:pPr>
        <w:spacing w:after="0"/>
        <w:rPr>
          <w:rFonts w:ascii="Times New Roman" w:hAnsi="Times New Roman" w:cs="Times New Roman"/>
          <w:i/>
          <w:szCs w:val="24"/>
        </w:rPr>
      </w:pPr>
      <w:r w:rsidRPr="009132EA">
        <w:rPr>
          <w:rFonts w:ascii="Times New Roman" w:hAnsi="Times New Roman" w:cs="Times New Roman"/>
          <w:i/>
          <w:szCs w:val="24"/>
        </w:rPr>
        <w:lastRenderedPageBreak/>
        <w:t>Bà Nguyễn Minh Phương</w:t>
      </w:r>
    </w:p>
    <w:p w:rsidR="00716596" w:rsidRPr="009132EA" w:rsidRDefault="00716596" w:rsidP="00716596">
      <w:pPr>
        <w:spacing w:after="0"/>
        <w:rPr>
          <w:rFonts w:ascii="Times New Roman" w:hAnsi="Times New Roman" w:cs="Times New Roman"/>
          <w:i/>
          <w:szCs w:val="24"/>
        </w:rPr>
      </w:pPr>
      <w:r w:rsidRPr="009132EA">
        <w:rPr>
          <w:rFonts w:ascii="Times New Roman" w:hAnsi="Times New Roman" w:cs="Times New Roman"/>
          <w:i/>
          <w:szCs w:val="24"/>
        </w:rPr>
        <w:t>Phòng Nghiên cứu Chính sách</w:t>
      </w:r>
    </w:p>
    <w:p w:rsidR="00716596" w:rsidRPr="009132EA" w:rsidRDefault="00716596" w:rsidP="00716596">
      <w:pPr>
        <w:spacing w:after="0"/>
        <w:rPr>
          <w:rFonts w:ascii="Times New Roman" w:hAnsi="Times New Roman" w:cs="Times New Roman"/>
          <w:szCs w:val="24"/>
        </w:rPr>
      </w:pPr>
      <w:r w:rsidRPr="009132EA">
        <w:rPr>
          <w:rFonts w:ascii="Times New Roman" w:hAnsi="Times New Roman" w:cs="Times New Roman"/>
          <w:szCs w:val="24"/>
        </w:rPr>
        <w:t>Trung tâm Con người và Thiên nhiên (PanNature)</w:t>
      </w:r>
    </w:p>
    <w:p w:rsidR="00716596" w:rsidRPr="009132EA" w:rsidRDefault="00716596" w:rsidP="00716596">
      <w:pPr>
        <w:spacing w:after="0"/>
        <w:rPr>
          <w:rFonts w:ascii="Times New Roman" w:hAnsi="Times New Roman" w:cs="Times New Roman"/>
          <w:szCs w:val="24"/>
        </w:rPr>
      </w:pPr>
      <w:r w:rsidRPr="009132EA">
        <w:rPr>
          <w:rFonts w:ascii="Times New Roman" w:hAnsi="Times New Roman" w:cs="Times New Roman"/>
          <w:szCs w:val="24"/>
        </w:rPr>
        <w:t>Số 24 H2 Khu đô thị mới Yên Hòa, Cầu Giấy, Hà Nội</w:t>
      </w:r>
    </w:p>
    <w:p w:rsidR="00716596" w:rsidRPr="009132EA" w:rsidRDefault="00716596" w:rsidP="00716596">
      <w:pPr>
        <w:spacing w:after="0"/>
        <w:rPr>
          <w:rFonts w:ascii="Times New Roman" w:hAnsi="Times New Roman" w:cs="Times New Roman"/>
          <w:szCs w:val="24"/>
        </w:rPr>
      </w:pPr>
      <w:r w:rsidRPr="009132EA">
        <w:rPr>
          <w:rFonts w:ascii="Times New Roman" w:hAnsi="Times New Roman" w:cs="Times New Roman"/>
          <w:szCs w:val="24"/>
        </w:rPr>
        <w:t xml:space="preserve">ĐT: 024 – 35564001 máy lẻ: 105; Email: </w:t>
      </w:r>
      <w:hyperlink r:id="rId9" w:history="1">
        <w:r w:rsidRPr="009132EA">
          <w:rPr>
            <w:rStyle w:val="Hyperlink"/>
            <w:rFonts w:ascii="Times New Roman" w:hAnsi="Times New Roman" w:cs="Times New Roman"/>
            <w:szCs w:val="24"/>
          </w:rPr>
          <w:t>minhphuong@nature.org.vn</w:t>
        </w:r>
      </w:hyperlink>
      <w:r w:rsidRPr="009132EA">
        <w:rPr>
          <w:rFonts w:ascii="Times New Roman" w:hAnsi="Times New Roman" w:cs="Times New Roman"/>
          <w:szCs w:val="24"/>
        </w:rPr>
        <w:t xml:space="preserve"> </w:t>
      </w:r>
    </w:p>
    <w:bookmarkEnd w:id="0"/>
    <w:p w:rsidR="004026A9" w:rsidRPr="009132EA" w:rsidRDefault="004026A9" w:rsidP="00272CCD">
      <w:pPr>
        <w:jc w:val="both"/>
        <w:rPr>
          <w:rFonts w:ascii="Times New Roman" w:hAnsi="Times New Roman" w:cs="Times New Roman"/>
          <w:sz w:val="24"/>
          <w:szCs w:val="24"/>
        </w:rPr>
      </w:pPr>
    </w:p>
    <w:sectPr w:rsidR="004026A9" w:rsidRPr="00913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E6" w:rsidRDefault="00897FE6" w:rsidP="002C0533">
      <w:pPr>
        <w:spacing w:after="0" w:line="240" w:lineRule="auto"/>
      </w:pPr>
      <w:r>
        <w:separator/>
      </w:r>
    </w:p>
  </w:endnote>
  <w:endnote w:type="continuationSeparator" w:id="0">
    <w:p w:rsidR="00897FE6" w:rsidRDefault="00897FE6" w:rsidP="002C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E6" w:rsidRDefault="00897FE6" w:rsidP="002C0533">
      <w:pPr>
        <w:spacing w:after="0" w:line="240" w:lineRule="auto"/>
      </w:pPr>
      <w:r>
        <w:separator/>
      </w:r>
    </w:p>
  </w:footnote>
  <w:footnote w:type="continuationSeparator" w:id="0">
    <w:p w:rsidR="00897FE6" w:rsidRDefault="00897FE6" w:rsidP="002C0533">
      <w:pPr>
        <w:spacing w:after="0" w:line="240" w:lineRule="auto"/>
      </w:pPr>
      <w:r>
        <w:continuationSeparator/>
      </w:r>
    </w:p>
  </w:footnote>
  <w:footnote w:id="1">
    <w:p w:rsidR="00B17829" w:rsidRDefault="00B17829">
      <w:pPr>
        <w:pStyle w:val="FootnoteText"/>
      </w:pPr>
      <w:r>
        <w:rPr>
          <w:rStyle w:val="FootnoteReference"/>
        </w:rPr>
        <w:footnoteRef/>
      </w:r>
      <w:r>
        <w:t xml:space="preserve"> </w:t>
      </w:r>
      <w:hyperlink r:id="rId1" w:history="1">
        <w:r w:rsidRPr="000D268D">
          <w:rPr>
            <w:rStyle w:val="Hyperlink"/>
          </w:rPr>
          <w:t>Lần đầu tiên đấu giá thành công quyền khai thác khoáng sản</w:t>
        </w:r>
      </w:hyperlink>
    </w:p>
  </w:footnote>
  <w:footnote w:id="2">
    <w:p w:rsidR="00B17829" w:rsidRDefault="00B17829">
      <w:pPr>
        <w:pStyle w:val="FootnoteText"/>
      </w:pPr>
      <w:r>
        <w:rPr>
          <w:rStyle w:val="FootnoteReference"/>
        </w:rPr>
        <w:footnoteRef/>
      </w:r>
      <w:r>
        <w:t xml:space="preserve"> </w:t>
      </w:r>
      <w:hyperlink r:id="rId2" w:history="1">
        <w:r w:rsidRPr="003B18F1">
          <w:rPr>
            <w:rStyle w:val="Hyperlink"/>
          </w:rPr>
          <w:t>Đánh giá việc thực hiện quy định về đấu giá quyền khai thác khoáng sản</w:t>
        </w:r>
      </w:hyperlink>
    </w:p>
  </w:footnote>
  <w:footnote w:id="3">
    <w:p w:rsidR="00B17829" w:rsidRDefault="00B17829">
      <w:pPr>
        <w:pStyle w:val="FootnoteText"/>
      </w:pPr>
      <w:r>
        <w:rPr>
          <w:rStyle w:val="FootnoteReference"/>
        </w:rPr>
        <w:footnoteRef/>
      </w:r>
      <w:r>
        <w:t xml:space="preserve">  </w:t>
      </w:r>
      <w:hyperlink r:id="rId3" w:history="1">
        <w:r w:rsidRPr="004026A9">
          <w:rPr>
            <w:rStyle w:val="Hyperlink"/>
          </w:rPr>
          <w:t>08 năm thực hiện các chính sách, quy định của Luật Khoáng sản</w:t>
        </w:r>
      </w:hyperlink>
    </w:p>
  </w:footnote>
  <w:footnote w:id="4">
    <w:p w:rsidR="00B17829" w:rsidRPr="00782F7B" w:rsidRDefault="00B17829" w:rsidP="00AB207D">
      <w:pPr>
        <w:pStyle w:val="FootnoteText"/>
        <w:rPr>
          <w:rFonts w:ascii="Times New Roman" w:hAnsi="Times New Roman"/>
          <w:lang w:val="en-SG"/>
        </w:rPr>
      </w:pPr>
      <w:r w:rsidRPr="00782F7B">
        <w:rPr>
          <w:rStyle w:val="FootnoteReference"/>
          <w:rFonts w:ascii="Times New Roman" w:hAnsi="Times New Roman"/>
        </w:rPr>
        <w:footnoteRef/>
      </w:r>
      <w:r w:rsidRPr="00782F7B">
        <w:rPr>
          <w:rFonts w:ascii="Times New Roman" w:hAnsi="Times New Roman"/>
        </w:rPr>
        <w:t xml:space="preserve"> </w:t>
      </w:r>
      <w:hyperlink r:id="rId4" w:history="1">
        <w:r w:rsidRPr="00782F7B">
          <w:rPr>
            <w:rStyle w:val="Hyperlink"/>
            <w:rFonts w:ascii="Times New Roman" w:hAnsi="Times New Roman"/>
          </w:rPr>
          <w:t>https://baotainguyenmoitruong.vn/dau-gia-quyen-khai-thac-khoang-san-ngay-cang-hieu-qua-297200.html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138"/>
    <w:multiLevelType w:val="hybridMultilevel"/>
    <w:tmpl w:val="945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91215"/>
    <w:multiLevelType w:val="hybridMultilevel"/>
    <w:tmpl w:val="C412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C02F4"/>
    <w:multiLevelType w:val="hybridMultilevel"/>
    <w:tmpl w:val="0BE8276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7388793C"/>
    <w:multiLevelType w:val="hybridMultilevel"/>
    <w:tmpl w:val="6CA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D4"/>
    <w:rsid w:val="00000D28"/>
    <w:rsid w:val="000D268D"/>
    <w:rsid w:val="00104409"/>
    <w:rsid w:val="00106009"/>
    <w:rsid w:val="00156395"/>
    <w:rsid w:val="00202EF6"/>
    <w:rsid w:val="00212C4A"/>
    <w:rsid w:val="002358BC"/>
    <w:rsid w:val="00260B7B"/>
    <w:rsid w:val="00260F8A"/>
    <w:rsid w:val="00270A99"/>
    <w:rsid w:val="00272CCD"/>
    <w:rsid w:val="00275389"/>
    <w:rsid w:val="002C0533"/>
    <w:rsid w:val="002D63F8"/>
    <w:rsid w:val="002F66CB"/>
    <w:rsid w:val="003033C9"/>
    <w:rsid w:val="00315ECA"/>
    <w:rsid w:val="00334294"/>
    <w:rsid w:val="00382208"/>
    <w:rsid w:val="00382BDE"/>
    <w:rsid w:val="003B18F1"/>
    <w:rsid w:val="004026A9"/>
    <w:rsid w:val="00496E7C"/>
    <w:rsid w:val="004B5F03"/>
    <w:rsid w:val="004F7E30"/>
    <w:rsid w:val="0053568C"/>
    <w:rsid w:val="005B42B1"/>
    <w:rsid w:val="005B4764"/>
    <w:rsid w:val="0060755B"/>
    <w:rsid w:val="00632CEE"/>
    <w:rsid w:val="00646CE0"/>
    <w:rsid w:val="00697447"/>
    <w:rsid w:val="006B7C93"/>
    <w:rsid w:val="006F132C"/>
    <w:rsid w:val="00716596"/>
    <w:rsid w:val="0079522D"/>
    <w:rsid w:val="007969E7"/>
    <w:rsid w:val="007D1EE5"/>
    <w:rsid w:val="007D479D"/>
    <w:rsid w:val="007F0DEC"/>
    <w:rsid w:val="008060A1"/>
    <w:rsid w:val="00845A64"/>
    <w:rsid w:val="00850A72"/>
    <w:rsid w:val="008578C7"/>
    <w:rsid w:val="00890869"/>
    <w:rsid w:val="00897FE6"/>
    <w:rsid w:val="009132EA"/>
    <w:rsid w:val="00952A52"/>
    <w:rsid w:val="009D0AD2"/>
    <w:rsid w:val="009F61A9"/>
    <w:rsid w:val="00A02C56"/>
    <w:rsid w:val="00A43500"/>
    <w:rsid w:val="00A575FE"/>
    <w:rsid w:val="00A64E70"/>
    <w:rsid w:val="00A73872"/>
    <w:rsid w:val="00AB207D"/>
    <w:rsid w:val="00B17829"/>
    <w:rsid w:val="00B97750"/>
    <w:rsid w:val="00C14B07"/>
    <w:rsid w:val="00C44ACE"/>
    <w:rsid w:val="00C9129F"/>
    <w:rsid w:val="00CC74DA"/>
    <w:rsid w:val="00D924E5"/>
    <w:rsid w:val="00E66BEB"/>
    <w:rsid w:val="00ED29D4"/>
    <w:rsid w:val="00EF153D"/>
    <w:rsid w:val="00F200F6"/>
    <w:rsid w:val="00F450AF"/>
    <w:rsid w:val="00F66E20"/>
    <w:rsid w:val="00FD2A45"/>
    <w:rsid w:val="00FD469F"/>
    <w:rsid w:val="00FE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7135"/>
  <w15:chartTrackingRefBased/>
  <w15:docId w15:val="{384BC99D-4BC6-4F52-B0E7-F128E3D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9D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D29D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C0533"/>
    <w:pPr>
      <w:spacing w:after="0" w:line="240" w:lineRule="auto"/>
    </w:pPr>
    <w:rPr>
      <w:sz w:val="20"/>
      <w:szCs w:val="20"/>
    </w:rPr>
  </w:style>
  <w:style w:type="character" w:customStyle="1" w:styleId="FootnoteTextChar">
    <w:name w:val="Footnote Text Char"/>
    <w:basedOn w:val="DefaultParagraphFont"/>
    <w:link w:val="FootnoteText"/>
    <w:uiPriority w:val="99"/>
    <w:rsid w:val="002C0533"/>
    <w:rPr>
      <w:sz w:val="20"/>
      <w:szCs w:val="20"/>
    </w:rPr>
  </w:style>
  <w:style w:type="character" w:styleId="FootnoteReference">
    <w:name w:val="footnote reference"/>
    <w:basedOn w:val="DefaultParagraphFont"/>
    <w:uiPriority w:val="99"/>
    <w:unhideWhenUsed/>
    <w:rsid w:val="002C0533"/>
    <w:rPr>
      <w:vertAlign w:val="superscript"/>
    </w:rPr>
  </w:style>
  <w:style w:type="character" w:styleId="Hyperlink">
    <w:name w:val="Hyperlink"/>
    <w:basedOn w:val="DefaultParagraphFont"/>
    <w:uiPriority w:val="99"/>
    <w:unhideWhenUsed/>
    <w:rsid w:val="004026A9"/>
    <w:rPr>
      <w:color w:val="0563C1" w:themeColor="hyperlink"/>
      <w:u w:val="single"/>
    </w:rPr>
  </w:style>
  <w:style w:type="character" w:styleId="UnresolvedMention">
    <w:name w:val="Unresolved Mention"/>
    <w:basedOn w:val="DefaultParagraphFont"/>
    <w:uiPriority w:val="99"/>
    <w:semiHidden/>
    <w:unhideWhenUsed/>
    <w:rsid w:val="004026A9"/>
    <w:rPr>
      <w:color w:val="605E5C"/>
      <w:shd w:val="clear" w:color="auto" w:fill="E1DFDD"/>
    </w:rPr>
  </w:style>
  <w:style w:type="character" w:customStyle="1" w:styleId="fontstyle01">
    <w:name w:val="fontstyle01"/>
    <w:rsid w:val="00A43500"/>
    <w:rPr>
      <w:rFonts w:ascii="TimesNewRomanPSMT" w:hAnsi="TimesNewRomanPSMT" w:hint="default"/>
      <w:b w:val="0"/>
      <w:bCs w:val="0"/>
      <w:i w:val="0"/>
      <w:iCs w:val="0"/>
      <w:color w:val="181717"/>
      <w:sz w:val="28"/>
      <w:szCs w:val="28"/>
    </w:rPr>
  </w:style>
  <w:style w:type="character" w:styleId="CommentReference">
    <w:name w:val="annotation reference"/>
    <w:rsid w:val="00AB207D"/>
    <w:rPr>
      <w:sz w:val="16"/>
      <w:szCs w:val="16"/>
    </w:rPr>
  </w:style>
  <w:style w:type="paragraph" w:styleId="CommentText">
    <w:name w:val="annotation text"/>
    <w:basedOn w:val="Normal"/>
    <w:link w:val="CommentTextChar"/>
    <w:rsid w:val="00AB207D"/>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rsid w:val="00AB207D"/>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AB2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7D"/>
    <w:rPr>
      <w:rFonts w:ascii="Segoe UI" w:hAnsi="Segoe UI" w:cs="Segoe UI"/>
      <w:sz w:val="18"/>
      <w:szCs w:val="18"/>
    </w:rPr>
  </w:style>
  <w:style w:type="paragraph" w:customStyle="1" w:styleId="head14">
    <w:name w:val="head14"/>
    <w:basedOn w:val="Normal"/>
    <w:rsid w:val="00632C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34294"/>
    <w:pPr>
      <w:ind w:left="720"/>
      <w:contextualSpacing/>
    </w:pPr>
  </w:style>
  <w:style w:type="table" w:styleId="TableGrid">
    <w:name w:val="Table Grid"/>
    <w:basedOn w:val="TableNormal"/>
    <w:uiPriority w:val="39"/>
    <w:rsid w:val="0085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nhphuong@nature.org.v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nre.gov.vn/Pages/08-nam-thuc-hien-cac-chinh-sach,-quy-dinh-cua-luat-khoang-san.aspx" TargetMode="External"/><Relationship Id="rId2" Type="http://schemas.openxmlformats.org/officeDocument/2006/relationships/hyperlink" Target="http://monre.gov.vn/Pages/danh-gia-viec-thuc-hien-quy-dinh-ve-dau-gia-quyen-khai-thac-khoang-san.aspx?fbclid=IwAR0VSEiQpnvM8FGr5MzOThVhgNN0FeeidFltJ9YnbqInLU2yfY_1Nw0drbs" TargetMode="External"/><Relationship Id="rId1" Type="http://schemas.openxmlformats.org/officeDocument/2006/relationships/hyperlink" Target="http://dgmv.gov.vn/index.php/bai-viet/lan-dau-tien-dau-gia-thanh-cong-quyen-khai-thac-khoang-san" TargetMode="External"/><Relationship Id="rId4" Type="http://schemas.openxmlformats.org/officeDocument/2006/relationships/hyperlink" Target="https://baotainguyenmoitruong.vn/dau-gia-quyen-khai-thac-khoang-san-ngay-cang-hieu-qua-297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EC3B-0CDF-4A72-BF7F-1627967F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PanNature</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 Minh</dc:creator>
  <cp:keywords/>
  <dc:description/>
  <cp:lastModifiedBy>Phuong Nguyen Minh</cp:lastModifiedBy>
  <cp:revision>29</cp:revision>
  <dcterms:created xsi:type="dcterms:W3CDTF">2020-12-10T03:20:00Z</dcterms:created>
  <dcterms:modified xsi:type="dcterms:W3CDTF">2020-12-30T05:02:00Z</dcterms:modified>
</cp:coreProperties>
</file>