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73" w:rsidRPr="00D63722" w:rsidRDefault="00EE5473" w:rsidP="002462EC">
      <w:pPr>
        <w:pStyle w:val="BodyText2"/>
        <w:tabs>
          <w:tab w:val="clear" w:pos="-720"/>
          <w:tab w:val="left" w:pos="0"/>
          <w:tab w:val="left" w:pos="720"/>
          <w:tab w:val="left" w:pos="1440"/>
          <w:tab w:val="left" w:pos="2160"/>
          <w:tab w:val="left" w:pos="2880"/>
        </w:tabs>
        <w:suppressAutoHyphens w:val="0"/>
        <w:spacing w:line="264" w:lineRule="auto"/>
        <w:jc w:val="center"/>
        <w:rPr>
          <w:rFonts w:ascii="Palatino Linotype" w:hAnsi="Palatino Linotype" w:cs="Palatino Linotype"/>
          <w:b/>
          <w:bCs/>
          <w:spacing w:val="0"/>
          <w:sz w:val="21"/>
          <w:szCs w:val="21"/>
          <w:lang w:eastAsia="en-US"/>
        </w:rPr>
      </w:pPr>
      <w:r w:rsidRPr="00CF0367">
        <w:rPr>
          <w:rFonts w:ascii="Palatino Linotype" w:hAnsi="Palatino Linotype" w:cs="Palatino Linotype"/>
          <w:b/>
          <w:bCs/>
          <w:sz w:val="21"/>
          <w:szCs w:val="21"/>
        </w:rPr>
        <w:t xml:space="preserve">ANNEX A – </w:t>
      </w:r>
      <w:r w:rsidRPr="00D63722">
        <w:rPr>
          <w:rFonts w:ascii="Palatino Linotype" w:hAnsi="Palatino Linotype" w:cs="Palatino Linotype"/>
          <w:b/>
          <w:bCs/>
          <w:spacing w:val="0"/>
          <w:sz w:val="21"/>
          <w:szCs w:val="21"/>
          <w:lang w:eastAsia="en-US"/>
        </w:rPr>
        <w:t>TERM OF REFERENCE AND SCOPE OF SERVICES</w:t>
      </w:r>
    </w:p>
    <w:p w:rsidR="00EE5473" w:rsidRDefault="00EE5473" w:rsidP="002462EC">
      <w:pPr>
        <w:tabs>
          <w:tab w:val="left" w:pos="0"/>
          <w:tab w:val="left" w:pos="720"/>
          <w:tab w:val="left" w:pos="1080"/>
        </w:tabs>
        <w:jc w:val="center"/>
        <w:rPr>
          <w:b/>
          <w:bCs/>
        </w:rPr>
      </w:pPr>
    </w:p>
    <w:p w:rsidR="00EE5473" w:rsidRPr="00F77EDC" w:rsidRDefault="00EE5473" w:rsidP="000638BD">
      <w:pPr>
        <w:tabs>
          <w:tab w:val="left" w:pos="0"/>
          <w:tab w:val="left" w:pos="720"/>
          <w:tab w:val="left" w:pos="1080"/>
        </w:tabs>
        <w:jc w:val="center"/>
        <w:rPr>
          <w:b/>
          <w:bCs/>
        </w:rPr>
      </w:pPr>
      <w:r w:rsidRPr="00F77EDC">
        <w:rPr>
          <w:b/>
          <w:bCs/>
        </w:rPr>
        <w:t>Consultant for position of Project Officer</w:t>
      </w:r>
    </w:p>
    <w:p w:rsidR="00EE5473" w:rsidRPr="00F77EDC" w:rsidRDefault="00EE5473" w:rsidP="000638BD">
      <w:pPr>
        <w:tabs>
          <w:tab w:val="left" w:pos="0"/>
        </w:tabs>
        <w:jc w:val="both"/>
        <w:outlineLvl w:val="4"/>
        <w:rPr>
          <w:b/>
          <w:bCs/>
        </w:rPr>
      </w:pPr>
    </w:p>
    <w:p w:rsidR="00EE5473" w:rsidRPr="00F77EDC" w:rsidRDefault="00EE5473" w:rsidP="000638BD">
      <w:pPr>
        <w:tabs>
          <w:tab w:val="left" w:pos="0"/>
        </w:tabs>
        <w:jc w:val="both"/>
        <w:outlineLvl w:val="4"/>
        <w:rPr>
          <w:b/>
          <w:bCs/>
        </w:rPr>
      </w:pPr>
      <w:r>
        <w:rPr>
          <w:b/>
          <w:bCs/>
        </w:rPr>
        <w:t>1. BACK GROUND</w:t>
      </w:r>
    </w:p>
    <w:p w:rsidR="00EE5473" w:rsidRPr="00F77EDC" w:rsidRDefault="00EE5473" w:rsidP="000638BD">
      <w:pPr>
        <w:jc w:val="both"/>
      </w:pPr>
    </w:p>
    <w:p w:rsidR="00EE5473" w:rsidRPr="00B2099E" w:rsidRDefault="00EE5473" w:rsidP="00E57C7D">
      <w:pPr>
        <w:jc w:val="both"/>
      </w:pPr>
      <w:r w:rsidRPr="00B2099E">
        <w:t>The objective of the Vietnam Renewable Energy Development Project is to increase the supply of electricity to the national grid from renewable energy sources on a commercially, environmentally and socially sustainable basis.</w:t>
      </w:r>
    </w:p>
    <w:p w:rsidR="00EE5473" w:rsidRPr="00B2099E" w:rsidRDefault="00EE5473" w:rsidP="00E57C7D">
      <w:pPr>
        <w:pStyle w:val="PlainText"/>
        <w:rPr>
          <w:rFonts w:ascii="Times New Roman" w:hAnsi="Times New Roman" w:cs="Times New Roman"/>
          <w:sz w:val="24"/>
          <w:szCs w:val="24"/>
        </w:rPr>
      </w:pPr>
    </w:p>
    <w:p w:rsidR="00EE5473" w:rsidRPr="00B2099E" w:rsidRDefault="00EE5473" w:rsidP="00E57C7D">
      <w:pPr>
        <w:pStyle w:val="PlainText"/>
        <w:rPr>
          <w:rFonts w:ascii="Times New Roman" w:hAnsi="Times New Roman" w:cs="Times New Roman"/>
          <w:sz w:val="24"/>
          <w:szCs w:val="24"/>
        </w:rPr>
      </w:pPr>
      <w:r w:rsidRPr="00B2099E">
        <w:rPr>
          <w:rFonts w:ascii="Times New Roman" w:hAnsi="Times New Roman" w:cs="Times New Roman"/>
          <w:sz w:val="24"/>
          <w:szCs w:val="24"/>
        </w:rPr>
        <w:t>The project has three components: (1) investment project implementation component, (2) regulatory development component, and (3) pipeline development component.</w:t>
      </w:r>
    </w:p>
    <w:p w:rsidR="00EE5473" w:rsidRDefault="00EE5473" w:rsidP="00E57C7D">
      <w:pPr>
        <w:pStyle w:val="BodyText"/>
        <w:jc w:val="both"/>
        <w:rPr>
          <w:i/>
          <w:iCs/>
        </w:rPr>
      </w:pPr>
    </w:p>
    <w:p w:rsidR="00EE5473" w:rsidRPr="00B2099E" w:rsidRDefault="00EE5473" w:rsidP="00E57C7D">
      <w:pPr>
        <w:pStyle w:val="BodyText"/>
        <w:jc w:val="both"/>
        <w:rPr>
          <w:i/>
          <w:iCs/>
        </w:rPr>
      </w:pPr>
      <w:r w:rsidRPr="00B2099E">
        <w:rPr>
          <w:i/>
          <w:iCs/>
        </w:rPr>
        <w:t xml:space="preserve">Component 1: Investment Project Implementation Component. </w:t>
      </w:r>
      <w:r w:rsidRPr="00B2099E">
        <w:t>The first component will address the financing and related barriers, by making retail financing available through an intermediary operation, while also strengthening, through technical assistance, the capacity of project sponsors and participating banks. Component 1 consists of two sub-components.</w:t>
      </w:r>
    </w:p>
    <w:p w:rsidR="00EE5473" w:rsidRPr="00B2099E" w:rsidRDefault="00EE5473" w:rsidP="00E57C7D">
      <w:pPr>
        <w:pStyle w:val="BodyText"/>
        <w:ind w:left="720"/>
        <w:jc w:val="both"/>
      </w:pPr>
      <w:r w:rsidRPr="00B2099E">
        <w:rPr>
          <w:i/>
          <w:iCs/>
        </w:rPr>
        <w:t xml:space="preserve">Credit to Support Renewable Energy Investments. </w:t>
      </w:r>
      <w:r w:rsidRPr="00B2099E">
        <w:t>This sub-component will provide a re-financing facility to participating commercial banks for loans to eligible renewables-based projects below 30MW developed by private sponsors.</w:t>
      </w:r>
    </w:p>
    <w:p w:rsidR="00EE5473" w:rsidRPr="00B2099E" w:rsidRDefault="00EE5473" w:rsidP="00E57C7D">
      <w:pPr>
        <w:spacing w:after="120"/>
        <w:ind w:left="720"/>
        <w:jc w:val="both"/>
        <w:rPr>
          <w:i/>
          <w:iCs/>
        </w:rPr>
      </w:pPr>
      <w:r w:rsidRPr="00B2099E">
        <w:rPr>
          <w:i/>
          <w:iCs/>
        </w:rPr>
        <w:t xml:space="preserve">Technical Assistance for Investment Project Implementation. </w:t>
      </w:r>
      <w:r w:rsidRPr="00B2099E">
        <w:t xml:space="preserve">This part will provide technical assistance to support overall management of the project, verification of eligibility for re-financing, and capacity building at PBs, project developers and others. </w:t>
      </w:r>
    </w:p>
    <w:p w:rsidR="00EE5473" w:rsidRPr="00B2099E" w:rsidRDefault="00EE5473" w:rsidP="00E57C7D">
      <w:pPr>
        <w:pStyle w:val="BodyText"/>
        <w:jc w:val="both"/>
      </w:pPr>
      <w:r w:rsidRPr="00B2099E">
        <w:rPr>
          <w:i/>
          <w:iCs/>
        </w:rPr>
        <w:t xml:space="preserve">Component 2: Regulatory Development Component. </w:t>
      </w:r>
      <w:r w:rsidRPr="00B2099E">
        <w:t xml:space="preserve">This component will address the regulatory barriers, support the implementation of the standardized, non-negotiable PPAs and avoided cost tariff for projects below 30 MW, streamlining approval procedures, clear procedures to grant project development licenses and to cancel the project development license if development at licensed sites takes too long, and capacity building at all levels of the project development infrastructure. Component 2 will provide technical assistance to MOIT, the Electricity Regulatory Authority of Vietnam, other relevant government agencies, for renewable energy development particularly for grid-connected electricity generation projects below 30 MW. </w:t>
      </w:r>
    </w:p>
    <w:p w:rsidR="00EE5473" w:rsidRPr="00B2099E" w:rsidRDefault="00EE5473" w:rsidP="00E57C7D">
      <w:pPr>
        <w:pStyle w:val="BodyText"/>
        <w:jc w:val="both"/>
      </w:pPr>
      <w:r w:rsidRPr="00B2099E">
        <w:rPr>
          <w:i/>
          <w:iCs/>
        </w:rPr>
        <w:t xml:space="preserve">Component 3: Pipeline Development Component. </w:t>
      </w:r>
      <w:r w:rsidRPr="00B2099E">
        <w:t>This</w:t>
      </w:r>
      <w:r w:rsidRPr="00B2099E">
        <w:rPr>
          <w:i/>
          <w:iCs/>
        </w:rPr>
        <w:t xml:space="preserve"> </w:t>
      </w:r>
      <w:r w:rsidRPr="00B2099E">
        <w:t xml:space="preserve">component will provide support for activities and specialized studies to facilitate the large-scale development of renewable energy projects below 30 MW contributing directly to building a pipeline of renewable electricity projects. This includes direct support for pipeline building through providing cost shared grants to developers selected on a competitive basis, and support for </w:t>
      </w:r>
      <w:smartTag w:uri="urn:schemas-microsoft-com:office:smarttags" w:element="PlaceName">
        <w:r w:rsidRPr="00B2099E">
          <w:t>Long</w:t>
        </w:r>
      </w:smartTag>
      <w:r w:rsidRPr="00B2099E">
        <w:t xml:space="preserve"> </w:t>
      </w:r>
      <w:smartTag w:uri="urn:schemas-microsoft-com:office:smarttags" w:element="PlaceName">
        <w:r w:rsidRPr="00B2099E">
          <w:t>Term</w:t>
        </w:r>
      </w:smartTag>
      <w:r w:rsidRPr="00B2099E">
        <w:t xml:space="preserve"> </w:t>
      </w:r>
      <w:smartTag w:uri="urn:schemas-microsoft-com:office:smarttags" w:element="PlaceName">
        <w:r w:rsidRPr="00B2099E">
          <w:t>Capacity</w:t>
        </w:r>
      </w:smartTag>
      <w:r w:rsidRPr="00B2099E">
        <w:t xml:space="preserve"> </w:t>
      </w:r>
      <w:smartTag w:uri="urn:schemas-microsoft-com:office:smarttags" w:element="PlaceType">
        <w:r w:rsidRPr="00B2099E">
          <w:t>Building</w:t>
        </w:r>
      </w:smartTag>
      <w:r w:rsidRPr="00B2099E">
        <w:t xml:space="preserve"> by selected training institutions in </w:t>
      </w:r>
      <w:smartTag w:uri="urn:schemas-microsoft-com:office:smarttags" w:element="place">
        <w:smartTag w:uri="urn:schemas-microsoft-com:office:smarttags" w:element="country-region">
          <w:r w:rsidRPr="00B2099E">
            <w:t>Vietnam</w:t>
          </w:r>
        </w:smartTag>
      </w:smartTag>
      <w:r w:rsidRPr="00B2099E">
        <w:t>.</w:t>
      </w:r>
    </w:p>
    <w:p w:rsidR="00EE5473" w:rsidRPr="00F77EDC" w:rsidRDefault="00EE5473" w:rsidP="00E57C7D">
      <w:pPr>
        <w:jc w:val="both"/>
      </w:pPr>
      <w:r w:rsidRPr="00B2099E">
        <w:t>REDP was approved by the World Bank Board of Directors on May 5, 2009 and become effective on September, 2009.</w:t>
      </w:r>
      <w:r>
        <w:t xml:space="preserve"> </w:t>
      </w:r>
      <w:r w:rsidRPr="00B2099E">
        <w:t xml:space="preserve">REDP </w:t>
      </w:r>
      <w:r>
        <w:t>is</w:t>
      </w:r>
      <w:r w:rsidRPr="00B2099E">
        <w:t xml:space="preserve"> implemented by the Project Management Board for Rural Electrification and Renewable Energy (PMB) established under the Ministry of Industry and Trade (MOIT).</w:t>
      </w:r>
      <w:r>
        <w:t xml:space="preserve"> </w:t>
      </w:r>
    </w:p>
    <w:p w:rsidR="00EE5473" w:rsidRPr="00F77EDC" w:rsidRDefault="00EE5473" w:rsidP="000638BD">
      <w:pPr>
        <w:jc w:val="both"/>
      </w:pPr>
      <w:r w:rsidRPr="00F77EDC">
        <w:t xml:space="preserve">To strengthen the capacity of the PMB in implementation of REDP, particular for capacity building for project sponsors, consultants as well as for participating banks and universities in the third component - pipeline development of REDP, MOIT will recruit one consultant for the </w:t>
      </w:r>
      <w:r w:rsidRPr="00F77EDC">
        <w:lastRenderedPageBreak/>
        <w:t xml:space="preserve">full-time position of Project Officer (PO). The </w:t>
      </w:r>
      <w:smartTag w:uri="urn:schemas-microsoft-com:office:smarttags" w:element="place">
        <w:r w:rsidRPr="00F77EDC">
          <w:t>PO</w:t>
        </w:r>
      </w:smartTag>
      <w:r w:rsidRPr="00F77EDC">
        <w:t xml:space="preserve"> will report directly to the PMB Director and closely work with the other members of the PMB. He/she will work in the PMB office, which is located in the MOIT building in </w:t>
      </w:r>
      <w:smartTag w:uri="urn:schemas-microsoft-com:office:smarttags" w:element="PersonName">
        <w:smartTag w:uri="urn:schemas-microsoft-com:office:smarttags" w:element="place">
          <w:smartTag w:uri="urn:schemas-microsoft-com:office:smarttags" w:element="City">
            <w:r w:rsidRPr="00F77EDC">
              <w:t>Ha</w:t>
            </w:r>
          </w:smartTag>
          <w:r w:rsidRPr="00F77EDC">
            <w:t>noi</w:t>
          </w:r>
        </w:smartTag>
      </w:smartTag>
      <w:r w:rsidRPr="00F77EDC">
        <w:t>.</w:t>
      </w:r>
    </w:p>
    <w:p w:rsidR="00EE5473" w:rsidRPr="00F77EDC" w:rsidRDefault="00EE5473" w:rsidP="000638BD">
      <w:pPr>
        <w:keepNext/>
        <w:jc w:val="both"/>
        <w:outlineLvl w:val="1"/>
        <w:rPr>
          <w:b/>
          <w:bCs/>
        </w:rPr>
      </w:pPr>
    </w:p>
    <w:p w:rsidR="00EE5473" w:rsidRPr="00F77EDC" w:rsidRDefault="00EE5473" w:rsidP="000638BD">
      <w:pPr>
        <w:keepNext/>
        <w:jc w:val="both"/>
        <w:outlineLvl w:val="1"/>
        <w:rPr>
          <w:b/>
          <w:bCs/>
        </w:rPr>
      </w:pPr>
      <w:r>
        <w:rPr>
          <w:b/>
          <w:bCs/>
        </w:rPr>
        <w:t xml:space="preserve">2. </w:t>
      </w:r>
      <w:r w:rsidRPr="00F77EDC">
        <w:rPr>
          <w:b/>
          <w:bCs/>
        </w:rPr>
        <w:t>OBJECTIVES OF ASSIGNMENT</w:t>
      </w:r>
    </w:p>
    <w:p w:rsidR="00EE5473" w:rsidRPr="00F77EDC" w:rsidRDefault="00EE5473" w:rsidP="000638BD">
      <w:pPr>
        <w:jc w:val="both"/>
      </w:pPr>
    </w:p>
    <w:p w:rsidR="00EE5473" w:rsidRPr="00F77EDC" w:rsidRDefault="00EE5473" w:rsidP="000638BD">
      <w:pPr>
        <w:jc w:val="both"/>
      </w:pPr>
      <w:r w:rsidRPr="00F77EDC">
        <w:t>The objective of the assignment is successful implementation of the subcomponents under REDP implemented by MOIT.</w:t>
      </w:r>
    </w:p>
    <w:p w:rsidR="00EE5473" w:rsidRPr="00F77EDC" w:rsidRDefault="00EE5473" w:rsidP="000638BD">
      <w:pPr>
        <w:keepNext/>
        <w:jc w:val="both"/>
        <w:outlineLvl w:val="1"/>
        <w:rPr>
          <w:b/>
          <w:bCs/>
        </w:rPr>
      </w:pPr>
    </w:p>
    <w:p w:rsidR="00EE5473" w:rsidRPr="00F77EDC" w:rsidRDefault="00EE5473" w:rsidP="000638BD">
      <w:pPr>
        <w:keepNext/>
        <w:jc w:val="both"/>
        <w:outlineLvl w:val="1"/>
        <w:rPr>
          <w:b/>
          <w:bCs/>
        </w:rPr>
      </w:pPr>
      <w:r>
        <w:rPr>
          <w:b/>
          <w:bCs/>
        </w:rPr>
        <w:t xml:space="preserve">3. </w:t>
      </w:r>
      <w:r w:rsidRPr="00F77EDC">
        <w:rPr>
          <w:b/>
          <w:bCs/>
        </w:rPr>
        <w:t>SCOPE OF WORK</w:t>
      </w:r>
    </w:p>
    <w:p w:rsidR="00EE5473" w:rsidRDefault="00EE5473" w:rsidP="000638BD">
      <w:pPr>
        <w:jc w:val="both"/>
      </w:pPr>
    </w:p>
    <w:p w:rsidR="00EE5473" w:rsidRPr="00F77EDC" w:rsidRDefault="00EE5473" w:rsidP="000638BD">
      <w:pPr>
        <w:jc w:val="both"/>
      </w:pPr>
      <w:r w:rsidRPr="00F77EDC">
        <w:t xml:space="preserve">The </w:t>
      </w:r>
      <w:smartTag w:uri="urn:schemas-microsoft-com:office:smarttags" w:element="place">
        <w:r w:rsidRPr="00F77EDC">
          <w:t>PO</w:t>
        </w:r>
      </w:smartTag>
      <w:r w:rsidRPr="00F77EDC">
        <w:t xml:space="preserve"> is responsible for implementation of the tasks on capacity building and other TA activities relating to renewable technology and technique under REDP. He/she would ensure that the funds for the assigned tasks are used in cost effective manner. He/she would coordinate closely with the PMB staff and other relevant stakeholders to carry out the job. The project officer would be responsible for:</w:t>
      </w:r>
    </w:p>
    <w:p w:rsidR="00EE5473" w:rsidRPr="00F77EDC" w:rsidRDefault="00EE5473" w:rsidP="000638BD">
      <w:pPr>
        <w:jc w:val="both"/>
      </w:pPr>
    </w:p>
    <w:p w:rsidR="00EE5473" w:rsidRPr="00F77EDC" w:rsidRDefault="00EE5473" w:rsidP="00CF0367">
      <w:pPr>
        <w:jc w:val="both"/>
        <w:rPr>
          <w:b/>
          <w:bCs/>
          <w:kern w:val="2"/>
          <w:lang w:eastAsia="nl-NL"/>
        </w:rPr>
      </w:pPr>
      <w:r w:rsidRPr="00F77EDC">
        <w:rPr>
          <w:b/>
          <w:bCs/>
          <w:kern w:val="2"/>
          <w:lang w:eastAsia="nl-NL"/>
        </w:rPr>
        <w:t>(</w:t>
      </w:r>
      <w:r>
        <w:rPr>
          <w:b/>
          <w:bCs/>
          <w:kern w:val="2"/>
          <w:lang w:eastAsia="nl-NL"/>
        </w:rPr>
        <w:t>a</w:t>
      </w:r>
      <w:r w:rsidRPr="00F77EDC">
        <w:rPr>
          <w:b/>
          <w:bCs/>
          <w:kern w:val="2"/>
          <w:lang w:eastAsia="nl-NL"/>
        </w:rPr>
        <w:t>)</w:t>
      </w:r>
      <w:r>
        <w:rPr>
          <w:b/>
          <w:bCs/>
          <w:kern w:val="2"/>
          <w:lang w:eastAsia="nl-NL"/>
        </w:rPr>
        <w:t xml:space="preserve"> Implementation of Component 3 – Pipeline Development</w:t>
      </w:r>
    </w:p>
    <w:p w:rsidR="00EE5473" w:rsidRDefault="00EE5473" w:rsidP="000638BD">
      <w:pPr>
        <w:jc w:val="both"/>
      </w:pPr>
    </w:p>
    <w:p w:rsidR="00EE5473" w:rsidRDefault="00EE5473" w:rsidP="000638BD">
      <w:pPr>
        <w:jc w:val="both"/>
      </w:pPr>
      <w:r>
        <w:t xml:space="preserve">CBSF sub-component: Monitor and speed up implementation progress of sub-component Capacity Building Support Facility (CBSF). The CBSF aims to support  </w:t>
      </w:r>
      <w:r w:rsidRPr="00CF0367">
        <w:t>educational institutions</w:t>
      </w:r>
      <w:r>
        <w:t xml:space="preserve"> </w:t>
      </w:r>
      <w:r w:rsidRPr="00CF0367">
        <w:t>for long-term capacity building for Re development</w:t>
      </w:r>
      <w:r>
        <w:t xml:space="preserve">. Three universities have been selected namely </w:t>
      </w:r>
      <w:smartTag w:uri="urn:schemas-microsoft-com:office:smarttags" w:element="PersonName">
        <w:r>
          <w:t>Ha</w:t>
        </w:r>
      </w:smartTag>
      <w:r>
        <w:t xml:space="preserve"> Noi University of Secience and Technology (HUST), Water Resources University (WRU) and Electric Power University (EPU). Total budget of the sub-project is about 1.2 million USD in which 900,000 USD will be granted from the REDP. </w:t>
      </w:r>
    </w:p>
    <w:p w:rsidR="00EE5473" w:rsidRDefault="00EE5473" w:rsidP="000638BD">
      <w:pPr>
        <w:jc w:val="both"/>
      </w:pPr>
    </w:p>
    <w:p w:rsidR="00EE5473" w:rsidRDefault="00EE5473" w:rsidP="000638BD">
      <w:pPr>
        <w:jc w:val="both"/>
      </w:pPr>
      <w:r>
        <w:t xml:space="preserve">FSSF sub-component: Monitor and speed up implementation progress of sub-component </w:t>
      </w:r>
      <w:r w:rsidRPr="00CF0367">
        <w:t xml:space="preserve">Feasibility </w:t>
      </w:r>
      <w:r>
        <w:t>S</w:t>
      </w:r>
      <w:r w:rsidRPr="00CF0367">
        <w:t xml:space="preserve">tudy </w:t>
      </w:r>
      <w:r>
        <w:t>S</w:t>
      </w:r>
      <w:r w:rsidRPr="00CF0367">
        <w:t xml:space="preserve">upport </w:t>
      </w:r>
      <w:r>
        <w:t>F</w:t>
      </w:r>
      <w:r w:rsidRPr="00CF0367">
        <w:t>acility</w:t>
      </w:r>
      <w:r>
        <w:t xml:space="preserve"> (FSSF). The FSSF aims to </w:t>
      </w:r>
      <w:r w:rsidRPr="00B2099E">
        <w:t xml:space="preserve">support for pipeline building through providing cost shared grants </w:t>
      </w:r>
      <w:r>
        <w:t xml:space="preserve">(up to 50%) </w:t>
      </w:r>
      <w:r w:rsidRPr="00B2099E">
        <w:t>to developers selected on a competitive basis</w:t>
      </w:r>
      <w:r>
        <w:t xml:space="preserve">. Total grant from REDP is 1 million USD. </w:t>
      </w:r>
    </w:p>
    <w:p w:rsidR="00EE5473" w:rsidRDefault="00EE5473" w:rsidP="000638BD">
      <w:pPr>
        <w:jc w:val="both"/>
      </w:pPr>
    </w:p>
    <w:p w:rsidR="00EE5473" w:rsidRPr="00F77EDC" w:rsidRDefault="00EE5473" w:rsidP="00A465FC">
      <w:pPr>
        <w:jc w:val="both"/>
        <w:rPr>
          <w:b/>
          <w:bCs/>
          <w:kern w:val="2"/>
          <w:lang w:eastAsia="nl-NL"/>
        </w:rPr>
      </w:pPr>
      <w:r w:rsidRPr="00F77EDC">
        <w:rPr>
          <w:b/>
          <w:bCs/>
          <w:kern w:val="2"/>
          <w:lang w:eastAsia="nl-NL"/>
        </w:rPr>
        <w:t>(</w:t>
      </w:r>
      <w:r>
        <w:rPr>
          <w:b/>
          <w:bCs/>
          <w:kern w:val="2"/>
          <w:lang w:eastAsia="nl-NL"/>
        </w:rPr>
        <w:t>b</w:t>
      </w:r>
      <w:r w:rsidRPr="00F77EDC">
        <w:rPr>
          <w:b/>
          <w:bCs/>
          <w:kern w:val="2"/>
          <w:lang w:eastAsia="nl-NL"/>
        </w:rPr>
        <w:t>)</w:t>
      </w:r>
      <w:r>
        <w:rPr>
          <w:b/>
          <w:bCs/>
          <w:kern w:val="2"/>
          <w:lang w:eastAsia="nl-NL"/>
        </w:rPr>
        <w:t xml:space="preserve"> Implementation of </w:t>
      </w:r>
      <w:r w:rsidRPr="00CF0367">
        <w:rPr>
          <w:b/>
          <w:bCs/>
          <w:kern w:val="2"/>
          <w:lang w:eastAsia="nl-NL"/>
        </w:rPr>
        <w:t xml:space="preserve">Technical Assistance </w:t>
      </w:r>
      <w:r>
        <w:rPr>
          <w:b/>
          <w:bCs/>
          <w:kern w:val="2"/>
          <w:lang w:eastAsia="nl-NL"/>
        </w:rPr>
        <w:t>Activities for the REDP</w:t>
      </w:r>
    </w:p>
    <w:p w:rsidR="00EE5473" w:rsidRDefault="00EE5473" w:rsidP="000638BD">
      <w:pPr>
        <w:jc w:val="both"/>
      </w:pPr>
    </w:p>
    <w:p w:rsidR="00EE5473" w:rsidRPr="00F77EDC" w:rsidRDefault="00EE5473" w:rsidP="000638BD">
      <w:pPr>
        <w:jc w:val="both"/>
        <w:rPr>
          <w:i/>
          <w:iCs/>
        </w:rPr>
      </w:pPr>
      <w:r>
        <w:t xml:space="preserve">Organization and implementation of capacity building for PMB, PBs, developers and other relevant beneficiaries, including:  </w:t>
      </w:r>
      <w:r w:rsidRPr="00F77EDC">
        <w:t xml:space="preserve">selection of </w:t>
      </w:r>
      <w:r>
        <w:t>c</w:t>
      </w:r>
      <w:r w:rsidRPr="00F77EDC">
        <w:t>onsultants, set up training demand and contents, preparation of training material, selection and organization of needed site visit for training courses, selection of trainees, implementation of training courses, evaluation and lesson learnt from each training course.</w:t>
      </w:r>
      <w:r>
        <w:t xml:space="preserve"> </w:t>
      </w:r>
      <w:r w:rsidRPr="00F77EDC">
        <w:t xml:space="preserve">       </w:t>
      </w:r>
    </w:p>
    <w:p w:rsidR="00EE5473" w:rsidRDefault="00EE5473" w:rsidP="0097467E">
      <w:pPr>
        <w:rPr>
          <w:b/>
          <w:bCs/>
          <w:kern w:val="2"/>
          <w:lang w:eastAsia="nl-NL"/>
        </w:rPr>
      </w:pPr>
    </w:p>
    <w:p w:rsidR="00EE5473" w:rsidRDefault="00EE5473" w:rsidP="0097467E">
      <w:pPr>
        <w:rPr>
          <w:b/>
          <w:bCs/>
          <w:kern w:val="2"/>
          <w:lang w:eastAsia="nl-NL"/>
        </w:rPr>
      </w:pPr>
      <w:r w:rsidRPr="00F77EDC">
        <w:rPr>
          <w:b/>
          <w:bCs/>
          <w:kern w:val="2"/>
          <w:lang w:eastAsia="nl-NL"/>
        </w:rPr>
        <w:t>(</w:t>
      </w:r>
      <w:r>
        <w:rPr>
          <w:b/>
          <w:bCs/>
          <w:kern w:val="2"/>
          <w:lang w:eastAsia="nl-NL"/>
        </w:rPr>
        <w:t>c</w:t>
      </w:r>
      <w:r w:rsidRPr="00F77EDC">
        <w:rPr>
          <w:b/>
          <w:bCs/>
          <w:kern w:val="2"/>
          <w:lang w:eastAsia="nl-NL"/>
        </w:rPr>
        <w:t>)</w:t>
      </w:r>
      <w:r w:rsidRPr="008C486A">
        <w:rPr>
          <w:b/>
          <w:bCs/>
          <w:kern w:val="2"/>
          <w:lang w:eastAsia="nl-NL"/>
        </w:rPr>
        <w:t xml:space="preserve"> </w:t>
      </w:r>
      <w:r>
        <w:rPr>
          <w:b/>
          <w:bCs/>
          <w:kern w:val="2"/>
          <w:lang w:eastAsia="nl-NL"/>
        </w:rPr>
        <w:t>Implementation of Renewable Energy Resources Mapping (RE Mapping)</w:t>
      </w:r>
    </w:p>
    <w:p w:rsidR="00EE5473" w:rsidRDefault="00EE5473" w:rsidP="008C486A">
      <w:pPr>
        <w:widowControl w:val="0"/>
        <w:jc w:val="both"/>
      </w:pPr>
    </w:p>
    <w:p w:rsidR="00EE5473" w:rsidRDefault="00EE5473" w:rsidP="005505F2">
      <w:pPr>
        <w:jc w:val="both"/>
      </w:pPr>
      <w:r w:rsidRPr="001E1F7A">
        <w:t>RE Mapping</w:t>
      </w:r>
      <w:r>
        <w:t xml:space="preserve"> is a </w:t>
      </w:r>
      <w:r w:rsidRPr="00AF30C5">
        <w:t>program</w:t>
      </w:r>
      <w:r>
        <w:t xml:space="preserve"> implemented by World Bank, </w:t>
      </w:r>
      <w:r w:rsidRPr="00AD5FC7">
        <w:t>being primarily funded by</w:t>
      </w:r>
      <w:r w:rsidRPr="0063365C">
        <w:t xml:space="preserve"> the Energy Sector Management Assistance Program (ESMAP)</w:t>
      </w:r>
      <w:r>
        <w:t xml:space="preserve"> </w:t>
      </w:r>
      <w:r w:rsidRPr="00AF30C5">
        <w:t>to support country and regional level</w:t>
      </w:r>
      <w:r>
        <w:t>,</w:t>
      </w:r>
      <w:r w:rsidRPr="00AF30C5">
        <w:t xml:space="preserve"> mapping for renewable energy resources include solar, wind, hydropower, and biomass resources. The objective is to support the deployment of renewable energy technologies by providing governments and the private sector with better information on the location and </w:t>
      </w:r>
      <w:r w:rsidRPr="00AF30C5">
        <w:lastRenderedPageBreak/>
        <w:t>commercial viability of potential areas for development</w:t>
      </w:r>
      <w:r>
        <w:t xml:space="preserve">. MOIT will contribute to the program through activities funded by REDP and GIZ. </w:t>
      </w:r>
    </w:p>
    <w:p w:rsidR="00EE5473" w:rsidRDefault="00EE5473" w:rsidP="005505F2">
      <w:pPr>
        <w:jc w:val="both"/>
      </w:pPr>
    </w:p>
    <w:p w:rsidR="00EE5473" w:rsidRDefault="00EE5473" w:rsidP="005505F2">
      <w:pPr>
        <w:jc w:val="both"/>
      </w:pPr>
      <w:r>
        <w:t xml:space="preserve">The Project Officer is responsible to support the international consultant to monitor, ensure timelines and quality of RE Mapping; coordinate with relevant organizations for relevant data and information collection. He will be core entity to coordinate with the Bank officer, ESMAP team, PMB, consultants, related government agencies, stakeholders consultation during implementation phase. </w:t>
      </w:r>
    </w:p>
    <w:p w:rsidR="00EE5473" w:rsidRDefault="00EE5473" w:rsidP="000638BD">
      <w:pPr>
        <w:jc w:val="both"/>
        <w:rPr>
          <w:b/>
          <w:bCs/>
        </w:rPr>
      </w:pPr>
    </w:p>
    <w:p w:rsidR="00EE5473" w:rsidRDefault="00EE5473" w:rsidP="000638BD">
      <w:pPr>
        <w:jc w:val="both"/>
        <w:rPr>
          <w:b/>
          <w:bCs/>
        </w:rPr>
      </w:pPr>
      <w:r>
        <w:rPr>
          <w:b/>
          <w:bCs/>
        </w:rPr>
        <w:t>d</w:t>
      </w:r>
      <w:r w:rsidRPr="00F77EDC">
        <w:rPr>
          <w:b/>
          <w:bCs/>
        </w:rPr>
        <w:t>)  Other activities:</w:t>
      </w:r>
    </w:p>
    <w:p w:rsidR="00EE5473" w:rsidRPr="00F77EDC" w:rsidRDefault="00EE5473" w:rsidP="000638BD">
      <w:pPr>
        <w:jc w:val="both"/>
        <w:rPr>
          <w:b/>
          <w:bCs/>
        </w:rPr>
      </w:pPr>
    </w:p>
    <w:p w:rsidR="00EE5473" w:rsidRPr="00F77EDC" w:rsidRDefault="00EE5473" w:rsidP="000638BD">
      <w:pPr>
        <w:jc w:val="both"/>
      </w:pPr>
      <w:r w:rsidRPr="00F77EDC">
        <w:t xml:space="preserve">The </w:t>
      </w:r>
      <w:smartTag w:uri="urn:schemas-microsoft-com:office:smarttags" w:element="place">
        <w:r w:rsidRPr="00F77EDC">
          <w:t>PO</w:t>
        </w:r>
      </w:smartTag>
      <w:r w:rsidRPr="00F77EDC">
        <w:t xml:space="preserve"> would be required to provide other deliverables or carrying out other activities for the implementation of REDP. Duties may also extend to other WB funded programs at the discretion of the PMB’s director.</w:t>
      </w:r>
    </w:p>
    <w:p w:rsidR="00EE5473" w:rsidRPr="00F77EDC" w:rsidRDefault="00EE5473" w:rsidP="000638BD">
      <w:pPr>
        <w:jc w:val="both"/>
        <w:rPr>
          <w:b/>
          <w:bCs/>
        </w:rPr>
      </w:pPr>
    </w:p>
    <w:p w:rsidR="00EE5473" w:rsidRPr="00F77EDC" w:rsidRDefault="00EE5473" w:rsidP="000638BD">
      <w:pPr>
        <w:jc w:val="both"/>
        <w:rPr>
          <w:b/>
          <w:bCs/>
        </w:rPr>
      </w:pPr>
      <w:r>
        <w:rPr>
          <w:b/>
          <w:bCs/>
        </w:rPr>
        <w:t xml:space="preserve">4. </w:t>
      </w:r>
      <w:r w:rsidRPr="00F77EDC">
        <w:rPr>
          <w:b/>
          <w:bCs/>
        </w:rPr>
        <w:t>CONSULTANT’S REPORTING OBLIGATION:</w:t>
      </w:r>
    </w:p>
    <w:p w:rsidR="00EE5473" w:rsidRPr="00F77EDC" w:rsidRDefault="00EE5473" w:rsidP="000638BD">
      <w:pPr>
        <w:jc w:val="both"/>
        <w:rPr>
          <w:b/>
          <w:bCs/>
        </w:rPr>
      </w:pPr>
      <w:r w:rsidRPr="00F77EDC">
        <w:rPr>
          <w:b/>
          <w:bCs/>
        </w:rPr>
        <w:t xml:space="preserve"> </w:t>
      </w:r>
    </w:p>
    <w:p w:rsidR="00EE5473" w:rsidRPr="00F77EDC" w:rsidRDefault="00EE5473" w:rsidP="000638BD">
      <w:pPr>
        <w:jc w:val="both"/>
      </w:pPr>
      <w:r w:rsidRPr="00F77EDC">
        <w:t xml:space="preserve">In order to keep MOIT/Head of Rural Electrification and Renewable Energy Projects Management Board and the World Bank task team and other relevant parties informed on the progress of the implementation of REDP, the PO shall prepare drafting/finalizing project status report, quarterly progress/updated reports and other documents for the subprojects, subcomponents as required by the Director of the Management Board.  </w:t>
      </w:r>
    </w:p>
    <w:p w:rsidR="00EE5473" w:rsidRDefault="00EE5473" w:rsidP="000638BD">
      <w:pPr>
        <w:jc w:val="both"/>
      </w:pPr>
    </w:p>
    <w:p w:rsidR="00EE5473" w:rsidRPr="00F77EDC" w:rsidRDefault="00EE5473" w:rsidP="000638BD">
      <w:pPr>
        <w:jc w:val="both"/>
      </w:pPr>
      <w:r w:rsidRPr="00F77EDC">
        <w:t xml:space="preserve">To implement each task that the consultant will: </w:t>
      </w:r>
    </w:p>
    <w:p w:rsidR="00EE5473" w:rsidRPr="00F77EDC" w:rsidRDefault="00EE5473" w:rsidP="00CF0367">
      <w:pPr>
        <w:numPr>
          <w:ilvl w:val="0"/>
          <w:numId w:val="30"/>
        </w:numPr>
        <w:tabs>
          <w:tab w:val="num" w:pos="504"/>
        </w:tabs>
        <w:spacing w:before="120"/>
        <w:ind w:left="505" w:hanging="505"/>
        <w:jc w:val="both"/>
      </w:pPr>
      <w:r w:rsidRPr="00F77EDC">
        <w:t xml:space="preserve">Coordinating with the relevant Project Coordinator and Project Officers to build the plan and contents for the </w:t>
      </w:r>
      <w:r>
        <w:t>CBSF and FSSF</w:t>
      </w:r>
      <w:r w:rsidRPr="00F77EDC">
        <w:t>. He/she must revise the programs as per Project Director’s comments and complete all procedures to request WB NOL for this program (including preparation of TORs, selection of consultants according to World Bank guideline).</w:t>
      </w:r>
    </w:p>
    <w:p w:rsidR="00EE5473" w:rsidRPr="00F77EDC" w:rsidRDefault="00EE5473" w:rsidP="000638BD">
      <w:pPr>
        <w:numPr>
          <w:ilvl w:val="0"/>
          <w:numId w:val="30"/>
        </w:numPr>
        <w:tabs>
          <w:tab w:val="num" w:pos="504"/>
        </w:tabs>
        <w:ind w:left="504"/>
        <w:jc w:val="both"/>
      </w:pPr>
      <w:r w:rsidRPr="00F77EDC">
        <w:t>Supervising contracts, monitoring progress and intervening as necessary; review and provision of substantive comments on deliverables leading to their acceptance by MOIT.</w:t>
      </w:r>
    </w:p>
    <w:p w:rsidR="00EE5473" w:rsidRPr="00F77EDC" w:rsidRDefault="00EE5473" w:rsidP="000638BD">
      <w:pPr>
        <w:numPr>
          <w:ilvl w:val="0"/>
          <w:numId w:val="30"/>
        </w:numPr>
        <w:tabs>
          <w:tab w:val="num" w:pos="504"/>
        </w:tabs>
        <w:ind w:left="504"/>
        <w:jc w:val="both"/>
      </w:pPr>
      <w:r w:rsidRPr="00F77EDC">
        <w:t xml:space="preserve">Coordination to other stakeholders: Coordination between MOIT/PMB and other stakeholders such as ministries, local governments, private sector, other donors, etc is particularly important. The </w:t>
      </w:r>
      <w:smartTag w:uri="urn:schemas-microsoft-com:office:smarttags" w:element="place">
        <w:r w:rsidRPr="00F77EDC">
          <w:t>PO</w:t>
        </w:r>
      </w:smartTag>
      <w:r w:rsidRPr="00F77EDC">
        <w:t xml:space="preserve"> is responsible for creation and maintenance of the coordination to ensure the successful implementation of the projects.</w:t>
      </w:r>
    </w:p>
    <w:p w:rsidR="00EE5473" w:rsidRDefault="00EE5473" w:rsidP="000638BD">
      <w:pPr>
        <w:jc w:val="both"/>
        <w:rPr>
          <w:b/>
          <w:bCs/>
        </w:rPr>
      </w:pPr>
    </w:p>
    <w:p w:rsidR="00EE5473" w:rsidRPr="00F77EDC" w:rsidRDefault="00EE5473" w:rsidP="0056135B">
      <w:pPr>
        <w:rPr>
          <w:b/>
          <w:bCs/>
        </w:rPr>
      </w:pPr>
      <w:r>
        <w:rPr>
          <w:b/>
          <w:bCs/>
        </w:rPr>
        <w:t xml:space="preserve">5. </w:t>
      </w:r>
      <w:r w:rsidRPr="00F77EDC">
        <w:rPr>
          <w:b/>
          <w:bCs/>
        </w:rPr>
        <w:t>SCHEDULE AND TYPE OF CONTRACT</w:t>
      </w:r>
    </w:p>
    <w:p w:rsidR="00EE5473" w:rsidRDefault="00EE5473" w:rsidP="000638BD">
      <w:pPr>
        <w:jc w:val="both"/>
      </w:pPr>
    </w:p>
    <w:p w:rsidR="00EE5473" w:rsidRPr="00F77EDC" w:rsidRDefault="00EE5473" w:rsidP="000638BD">
      <w:pPr>
        <w:jc w:val="both"/>
      </w:pPr>
      <w:r w:rsidRPr="00F77EDC">
        <w:t>The assignment is expected to start on 1</w:t>
      </w:r>
      <w:r>
        <w:t>5</w:t>
      </w:r>
      <w:r w:rsidRPr="00F77EDC">
        <w:t xml:space="preserve"> </w:t>
      </w:r>
      <w:r>
        <w:t>August</w:t>
      </w:r>
      <w:r w:rsidRPr="00F77EDC">
        <w:t xml:space="preserve"> 201</w:t>
      </w:r>
      <w:r>
        <w:t>3</w:t>
      </w:r>
      <w:r w:rsidRPr="00F77EDC">
        <w:t xml:space="preserve">.  </w:t>
      </w:r>
    </w:p>
    <w:p w:rsidR="00EE5473" w:rsidRDefault="00EE5473" w:rsidP="008E73F1">
      <w:pPr>
        <w:jc w:val="both"/>
      </w:pPr>
    </w:p>
    <w:p w:rsidR="00EE5473" w:rsidRPr="000912DB" w:rsidRDefault="00EE5473" w:rsidP="008E73F1">
      <w:pPr>
        <w:jc w:val="both"/>
      </w:pPr>
      <w:r w:rsidRPr="000912DB">
        <w:t xml:space="preserve">This full-time position would be recruited by </w:t>
      </w:r>
      <w:r>
        <w:t>10 months</w:t>
      </w:r>
      <w:r w:rsidRPr="000912DB">
        <w:t xml:space="preserve"> time-based contract with possibility of extension </w:t>
      </w:r>
      <w:r>
        <w:t xml:space="preserve">up to two years as </w:t>
      </w:r>
      <w:r w:rsidRPr="000912DB">
        <w:t xml:space="preserve">given satisfactory performance and workload demand. </w:t>
      </w:r>
    </w:p>
    <w:p w:rsidR="00EE5473" w:rsidRPr="00F77EDC" w:rsidRDefault="00EE5473" w:rsidP="000638BD">
      <w:pPr>
        <w:jc w:val="both"/>
      </w:pPr>
      <w:r w:rsidRPr="00F77EDC">
        <w:t xml:space="preserve"> </w:t>
      </w:r>
    </w:p>
    <w:p w:rsidR="00EE5473" w:rsidRPr="00F77EDC" w:rsidRDefault="00EE5473" w:rsidP="000638BD">
      <w:pPr>
        <w:jc w:val="both"/>
      </w:pPr>
      <w:r w:rsidRPr="00F77EDC">
        <w:t>Remuneration will be agreed with PMB and be subject to approval by MOIT/WB. The PO will be required to complete a standard time sheet to submit to the PMB on a monthly basis. The PO will be paid monthly.</w:t>
      </w:r>
    </w:p>
    <w:p w:rsidR="00EE5473" w:rsidRPr="00F77EDC" w:rsidRDefault="00EE5473" w:rsidP="000638BD">
      <w:pPr>
        <w:keepNext/>
        <w:jc w:val="both"/>
        <w:outlineLvl w:val="1"/>
        <w:rPr>
          <w:b/>
          <w:bCs/>
        </w:rPr>
      </w:pPr>
      <w:r>
        <w:rPr>
          <w:b/>
          <w:bCs/>
        </w:rPr>
        <w:lastRenderedPageBreak/>
        <w:t xml:space="preserve">6. </w:t>
      </w:r>
      <w:r w:rsidRPr="00F77EDC">
        <w:rPr>
          <w:b/>
          <w:bCs/>
        </w:rPr>
        <w:t>CONSULTANT QUALIFICATIONS AND EXPERIENCE</w:t>
      </w:r>
    </w:p>
    <w:p w:rsidR="00EE5473" w:rsidRPr="00F77EDC" w:rsidRDefault="00EE5473" w:rsidP="000638BD">
      <w:pPr>
        <w:jc w:val="both"/>
      </w:pPr>
      <w:r w:rsidRPr="00F77EDC">
        <w:t>The PO will require the following qualifications and experience:</w:t>
      </w:r>
    </w:p>
    <w:p w:rsidR="00EE5473" w:rsidRPr="00F77EDC" w:rsidRDefault="00EE5473" w:rsidP="00CF0367">
      <w:pPr>
        <w:numPr>
          <w:ilvl w:val="0"/>
          <w:numId w:val="32"/>
        </w:numPr>
        <w:spacing w:before="120"/>
        <w:jc w:val="both"/>
      </w:pPr>
      <w:r w:rsidRPr="00F77EDC">
        <w:t xml:space="preserve">Degree on </w:t>
      </w:r>
      <w:r>
        <w:t xml:space="preserve">Hydropower Engineering / Civil Engineering / Electric Engineering / </w:t>
      </w:r>
      <w:r w:rsidRPr="00F77EDC">
        <w:t xml:space="preserve">Energy Economics. A Master’s degree in </w:t>
      </w:r>
      <w:r>
        <w:t>H</w:t>
      </w:r>
      <w:r w:rsidRPr="00F77EDC">
        <w:t xml:space="preserve">ydropower </w:t>
      </w:r>
      <w:r>
        <w:t xml:space="preserve">/ Renewable Energy / Resources Management </w:t>
      </w:r>
      <w:r w:rsidRPr="00F77EDC">
        <w:t>is preferable.</w:t>
      </w:r>
    </w:p>
    <w:p w:rsidR="00EE5473" w:rsidRPr="00F77EDC" w:rsidRDefault="00EE5473" w:rsidP="00E316B0">
      <w:pPr>
        <w:numPr>
          <w:ilvl w:val="0"/>
          <w:numId w:val="32"/>
        </w:numPr>
        <w:spacing w:before="120"/>
        <w:jc w:val="both"/>
      </w:pPr>
      <w:r w:rsidRPr="00E316B0">
        <w:t>Minimum</w:t>
      </w:r>
      <w:r w:rsidRPr="00F77EDC">
        <w:t xml:space="preserve"> </w:t>
      </w:r>
      <w:r>
        <w:t>five</w:t>
      </w:r>
      <w:r w:rsidRPr="00F77EDC">
        <w:t xml:space="preserve"> </w:t>
      </w:r>
      <w:r>
        <w:t>years</w:t>
      </w:r>
      <w:r w:rsidRPr="00F77EDC">
        <w:t xml:space="preserve"> </w:t>
      </w:r>
      <w:r>
        <w:t xml:space="preserve">working </w:t>
      </w:r>
      <w:r w:rsidRPr="00F77EDC">
        <w:t>experience in</w:t>
      </w:r>
      <w:r>
        <w:t xml:space="preserve"> </w:t>
      </w:r>
      <w:r w:rsidRPr="00F77EDC">
        <w:t>power sector</w:t>
      </w:r>
      <w:r>
        <w:t xml:space="preserve"> or infrastructure development</w:t>
      </w:r>
      <w:r w:rsidRPr="00F77EDC">
        <w:t>.</w:t>
      </w:r>
      <w:r>
        <w:t xml:space="preserve"> Experience in </w:t>
      </w:r>
      <w:r w:rsidRPr="00E316B0">
        <w:t>managing and</w:t>
      </w:r>
      <w:r>
        <w:t xml:space="preserve"> </w:t>
      </w:r>
      <w:r w:rsidRPr="00E316B0">
        <w:t>monitoring of international development projects in renewable energy,</w:t>
      </w:r>
      <w:r>
        <w:t xml:space="preserve"> </w:t>
      </w:r>
      <w:r w:rsidRPr="00E316B0">
        <w:t>energy efficiency or clean energy and related fields such as micro</w:t>
      </w:r>
      <w:r w:rsidRPr="00E316B0">
        <w:br/>
        <w:t>enterprise development, technical training and capacity building</w:t>
      </w:r>
      <w:r>
        <w:t>, is preferable.</w:t>
      </w:r>
      <w:bookmarkStart w:id="0" w:name="_GoBack"/>
      <w:bookmarkEnd w:id="0"/>
    </w:p>
    <w:p w:rsidR="00EE5473" w:rsidRPr="00F77EDC" w:rsidRDefault="00EE5473" w:rsidP="00CF0367">
      <w:pPr>
        <w:numPr>
          <w:ilvl w:val="0"/>
          <w:numId w:val="32"/>
        </w:numPr>
        <w:spacing w:before="120"/>
        <w:jc w:val="both"/>
      </w:pPr>
      <w:r w:rsidRPr="00F77EDC">
        <w:t xml:space="preserve">Ability to work effectively with Governmental authorities, Local governments, Project developers </w:t>
      </w:r>
      <w:r>
        <w:t xml:space="preserve">, Education Facilities </w:t>
      </w:r>
      <w:r w:rsidRPr="00F77EDC">
        <w:t xml:space="preserve">and private sector. </w:t>
      </w:r>
    </w:p>
    <w:p w:rsidR="00EE5473" w:rsidRDefault="00EE5473" w:rsidP="00CF0367">
      <w:pPr>
        <w:numPr>
          <w:ilvl w:val="0"/>
          <w:numId w:val="32"/>
        </w:numPr>
        <w:spacing w:before="120"/>
        <w:jc w:val="both"/>
      </w:pPr>
      <w:bookmarkStart w:id="1" w:name="OLE_LINK3"/>
      <w:bookmarkStart w:id="2" w:name="OLE_LINK4"/>
      <w:r w:rsidRPr="00F77EDC">
        <w:t>Understanding and experience in World Bank regulations on safeguard policies and/or procurement will be an advantage</w:t>
      </w:r>
      <w:bookmarkEnd w:id="1"/>
      <w:bookmarkEnd w:id="2"/>
      <w:r w:rsidRPr="00F77EDC">
        <w:t>.</w:t>
      </w:r>
    </w:p>
    <w:p w:rsidR="00EE5473" w:rsidRPr="00F77EDC" w:rsidRDefault="00EE5473" w:rsidP="00CF0367">
      <w:pPr>
        <w:numPr>
          <w:ilvl w:val="0"/>
          <w:numId w:val="32"/>
        </w:numPr>
        <w:spacing w:before="120"/>
        <w:jc w:val="both"/>
      </w:pPr>
      <w:r>
        <w:t xml:space="preserve">Understanding and have knowledge on Vietnamese standards and regulations in management of investment project, grant and ODA.  </w:t>
      </w:r>
    </w:p>
    <w:p w:rsidR="00EE5473" w:rsidRPr="00F77EDC" w:rsidRDefault="00EE5473" w:rsidP="00CF0367">
      <w:pPr>
        <w:numPr>
          <w:ilvl w:val="0"/>
          <w:numId w:val="32"/>
        </w:numPr>
        <w:spacing w:before="120"/>
        <w:jc w:val="both"/>
      </w:pPr>
      <w:r w:rsidRPr="00F77EDC">
        <w:t xml:space="preserve">Ability to work under pressure and good team worker. </w:t>
      </w:r>
    </w:p>
    <w:p w:rsidR="00EE5473" w:rsidRPr="00F77EDC" w:rsidRDefault="00EE5473" w:rsidP="00CF0367">
      <w:pPr>
        <w:numPr>
          <w:ilvl w:val="0"/>
          <w:numId w:val="32"/>
        </w:numPr>
        <w:spacing w:before="120"/>
        <w:jc w:val="both"/>
      </w:pPr>
      <w:r w:rsidRPr="00F77EDC">
        <w:t>Good communication, reading and writing skills in English</w:t>
      </w:r>
    </w:p>
    <w:p w:rsidR="00EE5473" w:rsidRPr="00F77EDC" w:rsidRDefault="00EE5473" w:rsidP="00E316B0">
      <w:pPr>
        <w:numPr>
          <w:ilvl w:val="0"/>
          <w:numId w:val="32"/>
        </w:numPr>
        <w:spacing w:before="120"/>
        <w:jc w:val="both"/>
      </w:pPr>
      <w:r w:rsidRPr="00F77EDC">
        <w:t>Good command of computer office software such as Word, Excel, Power-Point, email and internet.</w:t>
      </w:r>
    </w:p>
    <w:p w:rsidR="00EE5473" w:rsidRPr="00F77EDC" w:rsidRDefault="00EE5473" w:rsidP="000638BD">
      <w:pPr>
        <w:rPr>
          <w:sz w:val="21"/>
          <w:szCs w:val="21"/>
        </w:rPr>
      </w:pPr>
      <w:r w:rsidRPr="00F77EDC">
        <w:rPr>
          <w:sz w:val="21"/>
          <w:szCs w:val="21"/>
        </w:rPr>
        <w:br w:type="page"/>
      </w:r>
    </w:p>
    <w:p w:rsidR="00EE5473" w:rsidRPr="00F77EDC" w:rsidRDefault="00EE5473" w:rsidP="000638BD">
      <w:pPr>
        <w:tabs>
          <w:tab w:val="left" w:pos="1320"/>
        </w:tabs>
        <w:spacing w:line="264" w:lineRule="auto"/>
        <w:jc w:val="center"/>
        <w:rPr>
          <w:b/>
          <w:bCs/>
          <w:sz w:val="21"/>
          <w:szCs w:val="21"/>
        </w:rPr>
      </w:pPr>
      <w:r w:rsidRPr="00F77EDC">
        <w:rPr>
          <w:b/>
          <w:bCs/>
          <w:sz w:val="21"/>
          <w:szCs w:val="21"/>
        </w:rPr>
        <w:t>ANNEX B – CONSULTANT’S REPORTING OBLIGATIONS</w:t>
      </w:r>
    </w:p>
    <w:p w:rsidR="00EE5473" w:rsidRPr="00F77EDC" w:rsidRDefault="00EE5473" w:rsidP="000638BD">
      <w:pPr>
        <w:rPr>
          <w:sz w:val="21"/>
          <w:szCs w:val="21"/>
        </w:rPr>
      </w:pPr>
    </w:p>
    <w:p w:rsidR="00EE5473" w:rsidRPr="00F77EDC" w:rsidRDefault="00EE5473" w:rsidP="000638BD">
      <w:pPr>
        <w:pStyle w:val="Header"/>
      </w:pPr>
    </w:p>
    <w:p w:rsidR="00EE5473" w:rsidRPr="00F77EDC" w:rsidRDefault="00EE5473" w:rsidP="000638BD">
      <w:pPr>
        <w:pStyle w:val="Header"/>
      </w:pPr>
    </w:p>
    <w:p w:rsidR="00EE5473" w:rsidRPr="00F77EDC" w:rsidRDefault="00EE5473" w:rsidP="000638BD">
      <w:pPr>
        <w:pStyle w:val="Header"/>
        <w:numPr>
          <w:ilvl w:val="0"/>
          <w:numId w:val="18"/>
        </w:numPr>
        <w:rPr>
          <w:sz w:val="24"/>
          <w:szCs w:val="24"/>
        </w:rPr>
      </w:pPr>
      <w:r w:rsidRPr="00F77EDC">
        <w:rPr>
          <w:sz w:val="24"/>
          <w:szCs w:val="24"/>
        </w:rPr>
        <w:t>Project Status Reports</w:t>
      </w:r>
    </w:p>
    <w:p w:rsidR="00EE5473" w:rsidRPr="00F77EDC" w:rsidRDefault="00EE5473" w:rsidP="000638BD">
      <w:pPr>
        <w:pStyle w:val="Header"/>
        <w:numPr>
          <w:ilvl w:val="0"/>
          <w:numId w:val="18"/>
        </w:numPr>
        <w:rPr>
          <w:sz w:val="24"/>
          <w:szCs w:val="24"/>
        </w:rPr>
      </w:pPr>
      <w:r w:rsidRPr="00F77EDC">
        <w:rPr>
          <w:sz w:val="24"/>
          <w:szCs w:val="24"/>
        </w:rPr>
        <w:t xml:space="preserve">Quarterly progress/updated Reports </w:t>
      </w:r>
    </w:p>
    <w:p w:rsidR="00EE5473" w:rsidRPr="00F77EDC" w:rsidRDefault="00EE5473" w:rsidP="000638BD">
      <w:pPr>
        <w:pStyle w:val="Header"/>
        <w:numPr>
          <w:ilvl w:val="0"/>
          <w:numId w:val="18"/>
        </w:numPr>
        <w:rPr>
          <w:sz w:val="24"/>
          <w:szCs w:val="24"/>
        </w:rPr>
      </w:pPr>
      <w:r w:rsidRPr="00F77EDC">
        <w:rPr>
          <w:sz w:val="24"/>
          <w:szCs w:val="24"/>
        </w:rPr>
        <w:t xml:space="preserve">Yearly progress/updated Reports </w:t>
      </w:r>
    </w:p>
    <w:p w:rsidR="00EE5473" w:rsidRPr="00F77EDC" w:rsidRDefault="00EE5473" w:rsidP="000638BD">
      <w:pPr>
        <w:tabs>
          <w:tab w:val="left" w:pos="1320"/>
        </w:tabs>
        <w:spacing w:line="264" w:lineRule="auto"/>
        <w:jc w:val="center"/>
        <w:rPr>
          <w:b/>
          <w:bCs/>
          <w:sz w:val="21"/>
          <w:szCs w:val="21"/>
        </w:rPr>
      </w:pPr>
      <w:r w:rsidRPr="00F77EDC">
        <w:rPr>
          <w:b/>
          <w:bCs/>
          <w:sz w:val="21"/>
          <w:szCs w:val="21"/>
        </w:rPr>
        <w:br w:type="page"/>
      </w:r>
    </w:p>
    <w:p w:rsidR="00EE5473" w:rsidRPr="00F77EDC" w:rsidRDefault="00EE5473" w:rsidP="000638BD">
      <w:pPr>
        <w:tabs>
          <w:tab w:val="left" w:pos="1320"/>
        </w:tabs>
        <w:spacing w:line="264" w:lineRule="auto"/>
        <w:jc w:val="center"/>
        <w:rPr>
          <w:b/>
          <w:bCs/>
          <w:caps/>
          <w:smallCaps/>
          <w:sz w:val="21"/>
          <w:szCs w:val="21"/>
        </w:rPr>
      </w:pPr>
      <w:r w:rsidRPr="00F77EDC">
        <w:rPr>
          <w:b/>
          <w:bCs/>
          <w:caps/>
          <w:sz w:val="21"/>
          <w:szCs w:val="21"/>
        </w:rPr>
        <w:t>ANNEX C – Cost Estimate of Service, List of Personnel and Schedule of Rates</w:t>
      </w:r>
    </w:p>
    <w:p w:rsidR="00EE5473" w:rsidRPr="00F77EDC" w:rsidRDefault="00EE5473" w:rsidP="000638BD">
      <w:pPr>
        <w:keepNext/>
        <w:spacing w:line="300" w:lineRule="auto"/>
        <w:jc w:val="center"/>
        <w:rPr>
          <w:b/>
          <w:bCs/>
          <w:sz w:val="21"/>
          <w:szCs w:val="21"/>
        </w:rPr>
      </w:pPr>
    </w:p>
    <w:p w:rsidR="00EE5473" w:rsidRPr="00F77EDC" w:rsidRDefault="00EE5473" w:rsidP="000638BD">
      <w:pPr>
        <w:keepNext/>
        <w:spacing w:line="300" w:lineRule="auto"/>
        <w:jc w:val="center"/>
        <w:rPr>
          <w:b/>
          <w:bCs/>
          <w:sz w:val="21"/>
          <w:szCs w:val="21"/>
        </w:rPr>
      </w:pPr>
    </w:p>
    <w:p w:rsidR="00EE5473" w:rsidRPr="00F77EDC" w:rsidRDefault="00EE5473" w:rsidP="000638BD">
      <w:pPr>
        <w:keepNext/>
        <w:numPr>
          <w:ilvl w:val="0"/>
          <w:numId w:val="19"/>
        </w:numPr>
        <w:spacing w:line="300" w:lineRule="auto"/>
        <w:rPr>
          <w:b/>
          <w:bCs/>
          <w:sz w:val="21"/>
          <w:szCs w:val="21"/>
        </w:rPr>
      </w:pPr>
      <w:r w:rsidRPr="00F77EDC">
        <w:rPr>
          <w:b/>
          <w:bCs/>
          <w:sz w:val="21"/>
          <w:szCs w:val="21"/>
        </w:rPr>
        <w:t>Cost Estimate of Services:</w:t>
      </w:r>
    </w:p>
    <w:p w:rsidR="00EE5473" w:rsidRPr="00F77EDC" w:rsidRDefault="00EE5473" w:rsidP="000638BD">
      <w:pPr>
        <w:keepNext/>
        <w:spacing w:line="300" w:lineRule="auto"/>
        <w:ind w:left="1080"/>
        <w:rPr>
          <w:b/>
          <w:bCs/>
          <w:sz w:val="21"/>
          <w:szCs w:val="21"/>
        </w:rPr>
      </w:pPr>
    </w:p>
    <w:tbl>
      <w:tblPr>
        <w:tblW w:w="96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2725"/>
        <w:gridCol w:w="2090"/>
        <w:gridCol w:w="1350"/>
        <w:gridCol w:w="1620"/>
        <w:gridCol w:w="1440"/>
      </w:tblGrid>
      <w:tr w:rsidR="00EE5473" w:rsidRPr="00F77EDC">
        <w:trPr>
          <w:trHeight w:val="750"/>
        </w:trPr>
        <w:tc>
          <w:tcPr>
            <w:tcW w:w="443" w:type="dxa"/>
            <w:noWrap/>
          </w:tcPr>
          <w:p w:rsidR="00EE5473" w:rsidRPr="00F77EDC" w:rsidRDefault="00EE5473" w:rsidP="008D2025">
            <w:pPr>
              <w:jc w:val="center"/>
              <w:rPr>
                <w:b/>
                <w:bCs/>
              </w:rPr>
            </w:pPr>
            <w:r w:rsidRPr="00F77EDC">
              <w:rPr>
                <w:b/>
                <w:bCs/>
                <w:sz w:val="22"/>
                <w:szCs w:val="22"/>
              </w:rPr>
              <w:t> </w:t>
            </w:r>
          </w:p>
        </w:tc>
        <w:tc>
          <w:tcPr>
            <w:tcW w:w="2725" w:type="dxa"/>
          </w:tcPr>
          <w:p w:rsidR="00EE5473" w:rsidRPr="00F77EDC" w:rsidRDefault="00EE5473" w:rsidP="008D2025">
            <w:pPr>
              <w:jc w:val="center"/>
              <w:rPr>
                <w:b/>
                <w:bCs/>
              </w:rPr>
            </w:pPr>
            <w:r w:rsidRPr="00F77EDC">
              <w:rPr>
                <w:b/>
                <w:bCs/>
                <w:sz w:val="22"/>
                <w:szCs w:val="22"/>
              </w:rPr>
              <w:t>Expense Category</w:t>
            </w:r>
          </w:p>
        </w:tc>
        <w:tc>
          <w:tcPr>
            <w:tcW w:w="2090" w:type="dxa"/>
          </w:tcPr>
          <w:p w:rsidR="00EE5473" w:rsidRPr="00F77EDC" w:rsidRDefault="00EE5473" w:rsidP="008D2025">
            <w:pPr>
              <w:jc w:val="center"/>
              <w:rPr>
                <w:b/>
                <w:bCs/>
              </w:rPr>
            </w:pPr>
            <w:r w:rsidRPr="00F77EDC">
              <w:rPr>
                <w:b/>
                <w:bCs/>
                <w:sz w:val="22"/>
                <w:szCs w:val="22"/>
              </w:rPr>
              <w:t>Rate ($)</w:t>
            </w:r>
          </w:p>
        </w:tc>
        <w:tc>
          <w:tcPr>
            <w:tcW w:w="1350" w:type="dxa"/>
          </w:tcPr>
          <w:p w:rsidR="00EE5473" w:rsidRPr="00F77EDC" w:rsidRDefault="00EE5473" w:rsidP="008D2025">
            <w:pPr>
              <w:jc w:val="center"/>
              <w:rPr>
                <w:b/>
                <w:bCs/>
              </w:rPr>
            </w:pPr>
            <w:r w:rsidRPr="00F77EDC">
              <w:rPr>
                <w:b/>
                <w:bCs/>
                <w:sz w:val="22"/>
                <w:szCs w:val="22"/>
              </w:rPr>
              <w:t>Month</w:t>
            </w:r>
          </w:p>
        </w:tc>
        <w:tc>
          <w:tcPr>
            <w:tcW w:w="1620" w:type="dxa"/>
          </w:tcPr>
          <w:p w:rsidR="00EE5473" w:rsidRPr="00F77EDC" w:rsidRDefault="00EE5473" w:rsidP="008D2025">
            <w:pPr>
              <w:jc w:val="center"/>
              <w:rPr>
                <w:b/>
                <w:bCs/>
              </w:rPr>
            </w:pPr>
            <w:r w:rsidRPr="00F77EDC">
              <w:rPr>
                <w:b/>
                <w:bCs/>
                <w:sz w:val="22"/>
                <w:szCs w:val="22"/>
              </w:rPr>
              <w:t>Total Costs ($)</w:t>
            </w:r>
          </w:p>
        </w:tc>
        <w:tc>
          <w:tcPr>
            <w:tcW w:w="1440" w:type="dxa"/>
          </w:tcPr>
          <w:p w:rsidR="00EE5473" w:rsidRPr="00F77EDC" w:rsidRDefault="00EE5473" w:rsidP="008D2025">
            <w:pPr>
              <w:jc w:val="center"/>
              <w:rPr>
                <w:b/>
                <w:bCs/>
              </w:rPr>
            </w:pPr>
            <w:r w:rsidRPr="00F77EDC">
              <w:rPr>
                <w:b/>
                <w:bCs/>
                <w:sz w:val="22"/>
                <w:szCs w:val="22"/>
              </w:rPr>
              <w:t>Percentage of Total</w:t>
            </w:r>
          </w:p>
        </w:tc>
      </w:tr>
      <w:tr w:rsidR="00EE5473" w:rsidRPr="00F77EDC">
        <w:trPr>
          <w:trHeight w:val="300"/>
        </w:trPr>
        <w:tc>
          <w:tcPr>
            <w:tcW w:w="443" w:type="dxa"/>
            <w:noWrap/>
          </w:tcPr>
          <w:p w:rsidR="00EE5473" w:rsidRPr="00F77EDC" w:rsidRDefault="00EE5473" w:rsidP="008D2025">
            <w:pPr>
              <w:jc w:val="center"/>
            </w:pPr>
          </w:p>
        </w:tc>
        <w:tc>
          <w:tcPr>
            <w:tcW w:w="2725" w:type="dxa"/>
            <w:noWrap/>
          </w:tcPr>
          <w:p w:rsidR="00EE5473" w:rsidRPr="00F77EDC" w:rsidRDefault="00EE5473" w:rsidP="008D2025"/>
        </w:tc>
        <w:tc>
          <w:tcPr>
            <w:tcW w:w="2090" w:type="dxa"/>
            <w:noWrap/>
          </w:tcPr>
          <w:p w:rsidR="00EE5473" w:rsidRPr="00F77EDC" w:rsidRDefault="00EE5473" w:rsidP="008D2025"/>
        </w:tc>
        <w:tc>
          <w:tcPr>
            <w:tcW w:w="1350" w:type="dxa"/>
            <w:noWrap/>
          </w:tcPr>
          <w:p w:rsidR="00EE5473" w:rsidRPr="00F77EDC" w:rsidRDefault="00EE5473" w:rsidP="008D2025"/>
        </w:tc>
        <w:tc>
          <w:tcPr>
            <w:tcW w:w="1620" w:type="dxa"/>
            <w:noWrap/>
          </w:tcPr>
          <w:p w:rsidR="00EE5473" w:rsidRPr="00F77EDC" w:rsidRDefault="00EE5473" w:rsidP="008D2025"/>
        </w:tc>
        <w:tc>
          <w:tcPr>
            <w:tcW w:w="1440" w:type="dxa"/>
            <w:noWrap/>
          </w:tcPr>
          <w:p w:rsidR="00EE5473" w:rsidRPr="00F77EDC" w:rsidRDefault="00EE5473" w:rsidP="008D2025"/>
        </w:tc>
      </w:tr>
      <w:tr w:rsidR="00EE5473" w:rsidRPr="00F77EDC">
        <w:trPr>
          <w:trHeight w:val="300"/>
        </w:trPr>
        <w:tc>
          <w:tcPr>
            <w:tcW w:w="443" w:type="dxa"/>
            <w:noWrap/>
          </w:tcPr>
          <w:p w:rsidR="00EE5473" w:rsidRPr="00F77EDC" w:rsidRDefault="00EE5473" w:rsidP="008D2025">
            <w:pPr>
              <w:jc w:val="center"/>
              <w:rPr>
                <w:b/>
                <w:bCs/>
                <w:i/>
                <w:iCs/>
                <w:u w:val="single"/>
              </w:rPr>
            </w:pPr>
            <w:r w:rsidRPr="00F77EDC">
              <w:rPr>
                <w:b/>
                <w:bCs/>
                <w:i/>
                <w:iCs/>
                <w:sz w:val="22"/>
                <w:szCs w:val="22"/>
                <w:u w:val="single"/>
              </w:rPr>
              <w:t>I.</w:t>
            </w:r>
          </w:p>
        </w:tc>
        <w:tc>
          <w:tcPr>
            <w:tcW w:w="2725" w:type="dxa"/>
            <w:noWrap/>
          </w:tcPr>
          <w:p w:rsidR="00EE5473" w:rsidRPr="00F77EDC" w:rsidRDefault="00EE5473" w:rsidP="008D2025">
            <w:pPr>
              <w:rPr>
                <w:b/>
                <w:bCs/>
                <w:i/>
                <w:iCs/>
                <w:u w:val="single"/>
              </w:rPr>
            </w:pPr>
            <w:r w:rsidRPr="00F77EDC">
              <w:rPr>
                <w:b/>
                <w:bCs/>
                <w:i/>
                <w:iCs/>
                <w:sz w:val="22"/>
                <w:szCs w:val="22"/>
                <w:u w:val="single"/>
              </w:rPr>
              <w:t>Remuneration</w:t>
            </w:r>
          </w:p>
        </w:tc>
        <w:tc>
          <w:tcPr>
            <w:tcW w:w="2090" w:type="dxa"/>
            <w:noWrap/>
          </w:tcPr>
          <w:p w:rsidR="00EE5473" w:rsidRPr="00F77EDC" w:rsidRDefault="00EE5473" w:rsidP="008D2025">
            <w:pPr>
              <w:jc w:val="center"/>
            </w:pPr>
          </w:p>
        </w:tc>
        <w:tc>
          <w:tcPr>
            <w:tcW w:w="1350" w:type="dxa"/>
            <w:noWrap/>
          </w:tcPr>
          <w:p w:rsidR="00EE5473" w:rsidRPr="00F77EDC" w:rsidRDefault="00EE5473" w:rsidP="008D2025">
            <w:pPr>
              <w:jc w:val="center"/>
            </w:pPr>
          </w:p>
        </w:tc>
        <w:tc>
          <w:tcPr>
            <w:tcW w:w="1620" w:type="dxa"/>
            <w:noWrap/>
          </w:tcPr>
          <w:p w:rsidR="00EE5473" w:rsidRPr="00F77EDC" w:rsidRDefault="00EE5473" w:rsidP="008D2025">
            <w:pPr>
              <w:jc w:val="center"/>
            </w:pPr>
          </w:p>
        </w:tc>
        <w:tc>
          <w:tcPr>
            <w:tcW w:w="1440" w:type="dxa"/>
            <w:noWrap/>
          </w:tcPr>
          <w:p w:rsidR="00EE5473" w:rsidRPr="00F77EDC" w:rsidRDefault="00EE5473" w:rsidP="008D2025"/>
        </w:tc>
      </w:tr>
      <w:tr w:rsidR="00EE5473" w:rsidRPr="00F77EDC">
        <w:trPr>
          <w:trHeight w:val="300"/>
        </w:trPr>
        <w:tc>
          <w:tcPr>
            <w:tcW w:w="443" w:type="dxa"/>
            <w:noWrap/>
          </w:tcPr>
          <w:p w:rsidR="00EE5473" w:rsidRPr="00F77EDC" w:rsidRDefault="00EE5473" w:rsidP="008D2025">
            <w:pPr>
              <w:jc w:val="center"/>
            </w:pPr>
          </w:p>
        </w:tc>
        <w:tc>
          <w:tcPr>
            <w:tcW w:w="2725" w:type="dxa"/>
            <w:noWrap/>
          </w:tcPr>
          <w:p w:rsidR="00EE5473" w:rsidRPr="00F77EDC" w:rsidRDefault="00EE5473" w:rsidP="008D2025"/>
        </w:tc>
        <w:tc>
          <w:tcPr>
            <w:tcW w:w="2090" w:type="dxa"/>
            <w:noWrap/>
          </w:tcPr>
          <w:p w:rsidR="00EE5473" w:rsidRPr="00F77EDC" w:rsidRDefault="00EE5473">
            <w:pPr>
              <w:jc w:val="center"/>
            </w:pPr>
            <w:r w:rsidRPr="00F77EDC">
              <w:rPr>
                <w:sz w:val="22"/>
                <w:szCs w:val="22"/>
              </w:rPr>
              <w:t>1,</w:t>
            </w:r>
            <w:r>
              <w:rPr>
                <w:sz w:val="22"/>
                <w:szCs w:val="22"/>
              </w:rPr>
              <w:t>5</w:t>
            </w:r>
            <w:r w:rsidRPr="00F77EDC">
              <w:rPr>
                <w:sz w:val="22"/>
                <w:szCs w:val="22"/>
              </w:rPr>
              <w:t>00</w:t>
            </w:r>
          </w:p>
        </w:tc>
        <w:tc>
          <w:tcPr>
            <w:tcW w:w="1350" w:type="dxa"/>
            <w:noWrap/>
          </w:tcPr>
          <w:p w:rsidR="00EE5473" w:rsidRPr="00F77EDC" w:rsidRDefault="00EE5473">
            <w:pPr>
              <w:jc w:val="center"/>
            </w:pPr>
            <w:r w:rsidRPr="00F77EDC">
              <w:rPr>
                <w:sz w:val="22"/>
                <w:szCs w:val="22"/>
              </w:rPr>
              <w:t>1</w:t>
            </w:r>
            <w:r>
              <w:rPr>
                <w:sz w:val="22"/>
                <w:szCs w:val="22"/>
              </w:rPr>
              <w:t>0</w:t>
            </w:r>
          </w:p>
        </w:tc>
        <w:tc>
          <w:tcPr>
            <w:tcW w:w="1620" w:type="dxa"/>
            <w:noWrap/>
          </w:tcPr>
          <w:p w:rsidR="00EE5473" w:rsidRPr="00F77EDC" w:rsidRDefault="00EE5473">
            <w:pPr>
              <w:jc w:val="center"/>
            </w:pPr>
            <w:r>
              <w:rPr>
                <w:sz w:val="22"/>
                <w:szCs w:val="22"/>
              </w:rPr>
              <w:t>15</w:t>
            </w:r>
            <w:r w:rsidRPr="00F77EDC">
              <w:rPr>
                <w:sz w:val="22"/>
                <w:szCs w:val="22"/>
              </w:rPr>
              <w:t>,</w:t>
            </w:r>
            <w:r>
              <w:rPr>
                <w:sz w:val="22"/>
                <w:szCs w:val="22"/>
              </w:rPr>
              <w:t>0</w:t>
            </w:r>
            <w:r w:rsidRPr="00F77EDC">
              <w:rPr>
                <w:sz w:val="22"/>
                <w:szCs w:val="22"/>
              </w:rPr>
              <w:t>00</w:t>
            </w:r>
          </w:p>
        </w:tc>
        <w:tc>
          <w:tcPr>
            <w:tcW w:w="1440" w:type="dxa"/>
            <w:noWrap/>
          </w:tcPr>
          <w:p w:rsidR="00EE5473" w:rsidRPr="00F77EDC" w:rsidRDefault="00EE5473" w:rsidP="008D2025"/>
        </w:tc>
      </w:tr>
      <w:tr w:rsidR="00EE5473" w:rsidRPr="00F77EDC">
        <w:trPr>
          <w:trHeight w:val="315"/>
        </w:trPr>
        <w:tc>
          <w:tcPr>
            <w:tcW w:w="443" w:type="dxa"/>
            <w:noWrap/>
          </w:tcPr>
          <w:p w:rsidR="00EE5473" w:rsidRPr="00F77EDC" w:rsidRDefault="00EE5473" w:rsidP="008D2025">
            <w:pPr>
              <w:jc w:val="center"/>
            </w:pPr>
          </w:p>
        </w:tc>
        <w:tc>
          <w:tcPr>
            <w:tcW w:w="2725" w:type="dxa"/>
            <w:noWrap/>
          </w:tcPr>
          <w:p w:rsidR="00EE5473" w:rsidRPr="00F77EDC" w:rsidRDefault="00EE5473" w:rsidP="008D2025">
            <w:pPr>
              <w:rPr>
                <w:b/>
                <w:bCs/>
              </w:rPr>
            </w:pPr>
            <w:r w:rsidRPr="00F77EDC">
              <w:rPr>
                <w:b/>
                <w:bCs/>
                <w:sz w:val="22"/>
                <w:szCs w:val="22"/>
              </w:rPr>
              <w:t>Total Remuneration</w:t>
            </w:r>
          </w:p>
        </w:tc>
        <w:tc>
          <w:tcPr>
            <w:tcW w:w="2090" w:type="dxa"/>
            <w:noWrap/>
          </w:tcPr>
          <w:p w:rsidR="00EE5473" w:rsidRPr="00F77EDC" w:rsidRDefault="00EE5473" w:rsidP="008D2025">
            <w:pPr>
              <w:jc w:val="center"/>
              <w:rPr>
                <w:b/>
                <w:bCs/>
              </w:rPr>
            </w:pPr>
            <w:r w:rsidRPr="00F77EDC">
              <w:rPr>
                <w:b/>
                <w:bCs/>
                <w:sz w:val="22"/>
                <w:szCs w:val="22"/>
              </w:rPr>
              <w:t> </w:t>
            </w:r>
          </w:p>
        </w:tc>
        <w:tc>
          <w:tcPr>
            <w:tcW w:w="1350" w:type="dxa"/>
            <w:noWrap/>
          </w:tcPr>
          <w:p w:rsidR="00EE5473" w:rsidRPr="00F77EDC" w:rsidRDefault="00EE5473" w:rsidP="008D2025">
            <w:pPr>
              <w:jc w:val="center"/>
              <w:rPr>
                <w:b/>
                <w:bCs/>
              </w:rPr>
            </w:pPr>
            <w:r w:rsidRPr="00F77EDC">
              <w:rPr>
                <w:b/>
                <w:bCs/>
                <w:sz w:val="22"/>
                <w:szCs w:val="22"/>
              </w:rPr>
              <w:t> </w:t>
            </w:r>
          </w:p>
        </w:tc>
        <w:tc>
          <w:tcPr>
            <w:tcW w:w="1620" w:type="dxa"/>
            <w:noWrap/>
          </w:tcPr>
          <w:p w:rsidR="00EE5473" w:rsidRPr="00F77EDC" w:rsidRDefault="00EE5473" w:rsidP="008D2025">
            <w:pPr>
              <w:jc w:val="center"/>
              <w:rPr>
                <w:b/>
                <w:bCs/>
              </w:rPr>
            </w:pPr>
            <w:r>
              <w:rPr>
                <w:b/>
                <w:bCs/>
                <w:sz w:val="22"/>
                <w:szCs w:val="22"/>
              </w:rPr>
              <w:t>15,000</w:t>
            </w:r>
          </w:p>
        </w:tc>
        <w:tc>
          <w:tcPr>
            <w:tcW w:w="1440" w:type="dxa"/>
            <w:noWrap/>
          </w:tcPr>
          <w:p w:rsidR="00EE5473" w:rsidRPr="00F77EDC" w:rsidRDefault="00EE5473" w:rsidP="008D2025">
            <w:pPr>
              <w:jc w:val="center"/>
              <w:rPr>
                <w:b/>
                <w:bCs/>
              </w:rPr>
            </w:pPr>
          </w:p>
        </w:tc>
      </w:tr>
      <w:tr w:rsidR="00EE5473" w:rsidRPr="00F77EDC">
        <w:trPr>
          <w:trHeight w:val="300"/>
        </w:trPr>
        <w:tc>
          <w:tcPr>
            <w:tcW w:w="443" w:type="dxa"/>
            <w:noWrap/>
          </w:tcPr>
          <w:p w:rsidR="00EE5473" w:rsidRPr="00F77EDC" w:rsidRDefault="00EE5473" w:rsidP="008D2025">
            <w:pPr>
              <w:jc w:val="center"/>
            </w:pPr>
          </w:p>
        </w:tc>
        <w:tc>
          <w:tcPr>
            <w:tcW w:w="2725" w:type="dxa"/>
            <w:noWrap/>
          </w:tcPr>
          <w:p w:rsidR="00EE5473" w:rsidRPr="00F77EDC" w:rsidRDefault="00EE5473" w:rsidP="008D2025">
            <w:pPr>
              <w:rPr>
                <w:b/>
                <w:bCs/>
              </w:rPr>
            </w:pPr>
          </w:p>
        </w:tc>
        <w:tc>
          <w:tcPr>
            <w:tcW w:w="2090" w:type="dxa"/>
            <w:noWrap/>
          </w:tcPr>
          <w:p w:rsidR="00EE5473" w:rsidRPr="00F77EDC" w:rsidRDefault="00EE5473" w:rsidP="008D2025">
            <w:pPr>
              <w:jc w:val="center"/>
              <w:rPr>
                <w:b/>
                <w:bCs/>
              </w:rPr>
            </w:pPr>
          </w:p>
        </w:tc>
        <w:tc>
          <w:tcPr>
            <w:tcW w:w="1350" w:type="dxa"/>
            <w:noWrap/>
          </w:tcPr>
          <w:p w:rsidR="00EE5473" w:rsidRPr="00F77EDC" w:rsidRDefault="00EE5473" w:rsidP="008D2025">
            <w:pPr>
              <w:jc w:val="center"/>
              <w:rPr>
                <w:b/>
                <w:bCs/>
              </w:rPr>
            </w:pPr>
          </w:p>
        </w:tc>
        <w:tc>
          <w:tcPr>
            <w:tcW w:w="1620" w:type="dxa"/>
            <w:noWrap/>
          </w:tcPr>
          <w:p w:rsidR="00EE5473" w:rsidRPr="00F77EDC" w:rsidRDefault="00EE5473" w:rsidP="008D2025">
            <w:pPr>
              <w:jc w:val="center"/>
              <w:rPr>
                <w:b/>
                <w:bCs/>
              </w:rPr>
            </w:pPr>
          </w:p>
        </w:tc>
        <w:tc>
          <w:tcPr>
            <w:tcW w:w="1440" w:type="dxa"/>
            <w:noWrap/>
          </w:tcPr>
          <w:p w:rsidR="00EE5473" w:rsidRPr="00F77EDC" w:rsidRDefault="00EE5473" w:rsidP="008D2025">
            <w:pPr>
              <w:jc w:val="center"/>
              <w:rPr>
                <w:b/>
                <w:bCs/>
              </w:rPr>
            </w:pPr>
          </w:p>
        </w:tc>
      </w:tr>
      <w:tr w:rsidR="00EE5473" w:rsidRPr="00F77EDC">
        <w:trPr>
          <w:trHeight w:val="300"/>
        </w:trPr>
        <w:tc>
          <w:tcPr>
            <w:tcW w:w="443" w:type="dxa"/>
            <w:noWrap/>
          </w:tcPr>
          <w:p w:rsidR="00EE5473" w:rsidRPr="00F77EDC" w:rsidRDefault="00EE5473" w:rsidP="008D2025">
            <w:pPr>
              <w:jc w:val="center"/>
            </w:pPr>
            <w:r>
              <w:t>II</w:t>
            </w:r>
          </w:p>
        </w:tc>
        <w:tc>
          <w:tcPr>
            <w:tcW w:w="2725" w:type="dxa"/>
            <w:noWrap/>
          </w:tcPr>
          <w:p w:rsidR="00EE5473" w:rsidRPr="00F77EDC" w:rsidRDefault="00EE5473" w:rsidP="00566CB3">
            <w:pPr>
              <w:rPr>
                <w:b/>
                <w:bCs/>
              </w:rPr>
            </w:pPr>
            <w:r w:rsidRPr="00F77EDC">
              <w:rPr>
                <w:b/>
                <w:bCs/>
                <w:sz w:val="22"/>
                <w:szCs w:val="22"/>
              </w:rPr>
              <w:t xml:space="preserve">Net amount </w:t>
            </w:r>
          </w:p>
        </w:tc>
        <w:tc>
          <w:tcPr>
            <w:tcW w:w="2090" w:type="dxa"/>
            <w:noWrap/>
          </w:tcPr>
          <w:p w:rsidR="00EE5473" w:rsidRPr="00F77EDC" w:rsidRDefault="00EE5473" w:rsidP="008D2025">
            <w:pPr>
              <w:jc w:val="center"/>
              <w:rPr>
                <w:b/>
                <w:bCs/>
              </w:rPr>
            </w:pPr>
          </w:p>
        </w:tc>
        <w:tc>
          <w:tcPr>
            <w:tcW w:w="1350" w:type="dxa"/>
            <w:noWrap/>
          </w:tcPr>
          <w:p w:rsidR="00EE5473" w:rsidRPr="00F77EDC" w:rsidRDefault="00EE5473" w:rsidP="008D2025">
            <w:pPr>
              <w:jc w:val="center"/>
              <w:rPr>
                <w:b/>
                <w:bCs/>
              </w:rPr>
            </w:pPr>
          </w:p>
        </w:tc>
        <w:tc>
          <w:tcPr>
            <w:tcW w:w="1620" w:type="dxa"/>
            <w:noWrap/>
          </w:tcPr>
          <w:p w:rsidR="00EE5473" w:rsidRPr="00F77EDC" w:rsidRDefault="00EE5473" w:rsidP="008D2025">
            <w:pPr>
              <w:jc w:val="center"/>
              <w:rPr>
                <w:b/>
                <w:bCs/>
              </w:rPr>
            </w:pPr>
            <w:r>
              <w:rPr>
                <w:b/>
                <w:bCs/>
                <w:sz w:val="22"/>
                <w:szCs w:val="22"/>
              </w:rPr>
              <w:t>15,000</w:t>
            </w:r>
          </w:p>
        </w:tc>
        <w:tc>
          <w:tcPr>
            <w:tcW w:w="1440" w:type="dxa"/>
            <w:noWrap/>
          </w:tcPr>
          <w:p w:rsidR="00EE5473" w:rsidRPr="00F77EDC" w:rsidRDefault="00EE5473" w:rsidP="008D2025">
            <w:pPr>
              <w:jc w:val="center"/>
              <w:rPr>
                <w:b/>
                <w:bCs/>
              </w:rPr>
            </w:pPr>
          </w:p>
        </w:tc>
      </w:tr>
      <w:tr w:rsidR="00EE5473" w:rsidRPr="00F77EDC">
        <w:trPr>
          <w:trHeight w:val="315"/>
        </w:trPr>
        <w:tc>
          <w:tcPr>
            <w:tcW w:w="443" w:type="dxa"/>
            <w:noWrap/>
          </w:tcPr>
          <w:p w:rsidR="00EE5473" w:rsidRPr="00F77EDC" w:rsidRDefault="00EE5473" w:rsidP="008D2025">
            <w:pPr>
              <w:jc w:val="center"/>
            </w:pPr>
          </w:p>
        </w:tc>
        <w:tc>
          <w:tcPr>
            <w:tcW w:w="2725" w:type="dxa"/>
            <w:noWrap/>
          </w:tcPr>
          <w:p w:rsidR="00EE5473" w:rsidRPr="00F77EDC" w:rsidRDefault="00EE5473" w:rsidP="008D2025">
            <w:r w:rsidRPr="00F77EDC">
              <w:rPr>
                <w:sz w:val="22"/>
                <w:szCs w:val="22"/>
              </w:rPr>
              <w:t>Personal income tax withhold</w:t>
            </w:r>
          </w:p>
        </w:tc>
        <w:tc>
          <w:tcPr>
            <w:tcW w:w="2090" w:type="dxa"/>
            <w:noWrap/>
          </w:tcPr>
          <w:p w:rsidR="00EE5473" w:rsidRPr="00F77EDC" w:rsidRDefault="00EE5473" w:rsidP="008D2025"/>
        </w:tc>
        <w:tc>
          <w:tcPr>
            <w:tcW w:w="1350" w:type="dxa"/>
            <w:noWrap/>
          </w:tcPr>
          <w:p w:rsidR="00EE5473" w:rsidRPr="00F77EDC" w:rsidRDefault="00EE5473" w:rsidP="008D2025"/>
        </w:tc>
        <w:tc>
          <w:tcPr>
            <w:tcW w:w="1620" w:type="dxa"/>
            <w:noWrap/>
          </w:tcPr>
          <w:p w:rsidR="00EE5473" w:rsidRPr="00F77EDC" w:rsidRDefault="002C6380">
            <w:pPr>
              <w:jc w:val="center"/>
            </w:pPr>
            <w:r>
              <w:rPr>
                <w:sz w:val="22"/>
                <w:szCs w:val="22"/>
              </w:rPr>
              <w:t>3,000</w:t>
            </w:r>
          </w:p>
        </w:tc>
        <w:tc>
          <w:tcPr>
            <w:tcW w:w="1440" w:type="dxa"/>
            <w:noWrap/>
          </w:tcPr>
          <w:p w:rsidR="00EE5473" w:rsidRPr="00F77EDC" w:rsidRDefault="00EE5473" w:rsidP="008D2025">
            <w:pPr>
              <w:jc w:val="center"/>
            </w:pPr>
          </w:p>
        </w:tc>
      </w:tr>
      <w:tr w:rsidR="00EE5473" w:rsidRPr="00F77EDC">
        <w:trPr>
          <w:trHeight w:val="315"/>
        </w:trPr>
        <w:tc>
          <w:tcPr>
            <w:tcW w:w="443" w:type="dxa"/>
            <w:noWrap/>
          </w:tcPr>
          <w:p w:rsidR="00EE5473" w:rsidRPr="00F77EDC" w:rsidRDefault="00EE5473" w:rsidP="008D2025">
            <w:pPr>
              <w:jc w:val="center"/>
            </w:pPr>
            <w:r w:rsidRPr="00F77EDC">
              <w:rPr>
                <w:sz w:val="22"/>
                <w:szCs w:val="22"/>
              </w:rPr>
              <w:t> </w:t>
            </w:r>
          </w:p>
        </w:tc>
        <w:tc>
          <w:tcPr>
            <w:tcW w:w="2725" w:type="dxa"/>
            <w:noWrap/>
          </w:tcPr>
          <w:p w:rsidR="00EE5473" w:rsidRPr="00F77EDC" w:rsidRDefault="00EE5473" w:rsidP="008D2025">
            <w:pPr>
              <w:rPr>
                <w:b/>
                <w:bCs/>
              </w:rPr>
            </w:pPr>
            <w:r w:rsidRPr="00F77EDC">
              <w:rPr>
                <w:b/>
                <w:bCs/>
                <w:sz w:val="22"/>
                <w:szCs w:val="22"/>
              </w:rPr>
              <w:t>TOTAL A</w:t>
            </w:r>
          </w:p>
        </w:tc>
        <w:tc>
          <w:tcPr>
            <w:tcW w:w="2090" w:type="dxa"/>
            <w:noWrap/>
          </w:tcPr>
          <w:p w:rsidR="00EE5473" w:rsidRPr="00F77EDC" w:rsidRDefault="00EE5473" w:rsidP="008D2025">
            <w:r w:rsidRPr="00F77EDC">
              <w:rPr>
                <w:sz w:val="22"/>
                <w:szCs w:val="22"/>
              </w:rPr>
              <w:t> </w:t>
            </w:r>
          </w:p>
        </w:tc>
        <w:tc>
          <w:tcPr>
            <w:tcW w:w="1350" w:type="dxa"/>
            <w:noWrap/>
          </w:tcPr>
          <w:p w:rsidR="00EE5473" w:rsidRPr="00F77EDC" w:rsidRDefault="00EE5473" w:rsidP="008D2025">
            <w:r w:rsidRPr="00F77EDC">
              <w:rPr>
                <w:sz w:val="22"/>
                <w:szCs w:val="22"/>
              </w:rPr>
              <w:t> </w:t>
            </w:r>
          </w:p>
        </w:tc>
        <w:tc>
          <w:tcPr>
            <w:tcW w:w="1620" w:type="dxa"/>
            <w:noWrap/>
          </w:tcPr>
          <w:p w:rsidR="00EE5473" w:rsidRPr="00F77EDC" w:rsidRDefault="002C6380" w:rsidP="008D2025">
            <w:pPr>
              <w:jc w:val="center"/>
              <w:rPr>
                <w:b/>
                <w:bCs/>
              </w:rPr>
            </w:pPr>
            <w:r>
              <w:rPr>
                <w:b/>
                <w:bCs/>
                <w:sz w:val="22"/>
                <w:szCs w:val="22"/>
              </w:rPr>
              <w:t>3,000</w:t>
            </w:r>
          </w:p>
        </w:tc>
        <w:tc>
          <w:tcPr>
            <w:tcW w:w="1440" w:type="dxa"/>
            <w:noWrap/>
          </w:tcPr>
          <w:p w:rsidR="00EE5473" w:rsidRPr="00F77EDC" w:rsidRDefault="00EE5473" w:rsidP="008D2025">
            <w:pPr>
              <w:jc w:val="center"/>
              <w:rPr>
                <w:b/>
                <w:bCs/>
              </w:rPr>
            </w:pPr>
          </w:p>
        </w:tc>
      </w:tr>
    </w:tbl>
    <w:p w:rsidR="00EE5473" w:rsidRPr="00F77EDC" w:rsidRDefault="00EE5473" w:rsidP="000638BD">
      <w:pPr>
        <w:keepNext/>
        <w:spacing w:line="300" w:lineRule="auto"/>
        <w:rPr>
          <w:b/>
          <w:bCs/>
          <w:sz w:val="21"/>
          <w:szCs w:val="21"/>
        </w:rPr>
      </w:pPr>
    </w:p>
    <w:p w:rsidR="00EE5473" w:rsidRPr="00F77EDC" w:rsidRDefault="00EE5473" w:rsidP="00CF0367">
      <w:pPr>
        <w:keepNext/>
        <w:spacing w:line="300" w:lineRule="auto"/>
        <w:rPr>
          <w:sz w:val="21"/>
          <w:szCs w:val="21"/>
        </w:rPr>
      </w:pPr>
      <w:r w:rsidRPr="00F77EDC">
        <w:rPr>
          <w:b/>
          <w:bCs/>
          <w:sz w:val="21"/>
          <w:szCs w:val="21"/>
        </w:rPr>
        <w:t xml:space="preserve">CONTRACT CEILLING: US$ </w:t>
      </w:r>
      <w:r w:rsidR="004C0806">
        <w:rPr>
          <w:b/>
          <w:bCs/>
          <w:sz w:val="21"/>
          <w:szCs w:val="21"/>
        </w:rPr>
        <w:t>18</w:t>
      </w:r>
      <w:r w:rsidRPr="00F77EDC">
        <w:rPr>
          <w:b/>
          <w:bCs/>
          <w:sz w:val="21"/>
          <w:szCs w:val="21"/>
        </w:rPr>
        <w:t>,</w:t>
      </w:r>
      <w:r w:rsidR="004C0806">
        <w:rPr>
          <w:b/>
          <w:bCs/>
          <w:sz w:val="21"/>
          <w:szCs w:val="21"/>
        </w:rPr>
        <w:t>0</w:t>
      </w:r>
      <w:r w:rsidRPr="00F77EDC">
        <w:rPr>
          <w:b/>
          <w:bCs/>
          <w:sz w:val="21"/>
          <w:szCs w:val="21"/>
        </w:rPr>
        <w:t>00</w:t>
      </w:r>
    </w:p>
    <w:p w:rsidR="00EE5473" w:rsidRDefault="00EE5473" w:rsidP="000638BD">
      <w:pPr>
        <w:tabs>
          <w:tab w:val="left" w:pos="0"/>
          <w:tab w:val="left" w:pos="720"/>
          <w:tab w:val="left" w:pos="1080"/>
        </w:tabs>
        <w:jc w:val="center"/>
      </w:pPr>
    </w:p>
    <w:sectPr w:rsidR="00EE5473" w:rsidSect="00EB1B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C7" w:rsidRDefault="005F27C7" w:rsidP="0026580B">
      <w:r>
        <w:separator/>
      </w:r>
    </w:p>
  </w:endnote>
  <w:endnote w:type="continuationSeparator" w:id="0">
    <w:p w:rsidR="005F27C7" w:rsidRDefault="005F27C7" w:rsidP="002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73" w:rsidRDefault="00EE5473" w:rsidP="00BE070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4C7">
      <w:rPr>
        <w:rStyle w:val="PageNumber"/>
        <w:noProof/>
      </w:rPr>
      <w:t>4</w:t>
    </w:r>
    <w:r>
      <w:rPr>
        <w:rStyle w:val="PageNumber"/>
      </w:rPr>
      <w:fldChar w:fldCharType="end"/>
    </w:r>
  </w:p>
  <w:p w:rsidR="00EE5473" w:rsidRDefault="00EE5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C7" w:rsidRDefault="005F27C7" w:rsidP="0026580B">
      <w:r>
        <w:separator/>
      </w:r>
    </w:p>
  </w:footnote>
  <w:footnote w:type="continuationSeparator" w:id="0">
    <w:p w:rsidR="005F27C7" w:rsidRDefault="005F27C7" w:rsidP="00265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5CD2D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6"/>
    <w:lvl w:ilvl="0">
      <w:start w:val="2005"/>
      <w:numFmt w:val="bullet"/>
      <w:lvlText w:val="-"/>
      <w:lvlJc w:val="left"/>
      <w:pPr>
        <w:tabs>
          <w:tab w:val="num" w:pos="720"/>
        </w:tabs>
        <w:ind w:left="720" w:hanging="360"/>
      </w:pPr>
      <w:rPr>
        <w:rFonts w:ascii="Arial" w:hAnsi="Arial"/>
      </w:rPr>
    </w:lvl>
  </w:abstractNum>
  <w:abstractNum w:abstractNumId="2">
    <w:nsid w:val="063E30BC"/>
    <w:multiLevelType w:val="hybridMultilevel"/>
    <w:tmpl w:val="A018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737C86"/>
    <w:multiLevelType w:val="hybridMultilevel"/>
    <w:tmpl w:val="059A547C"/>
    <w:lvl w:ilvl="0" w:tplc="04090005">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4">
    <w:nsid w:val="0AB16998"/>
    <w:multiLevelType w:val="hybridMultilevel"/>
    <w:tmpl w:val="54C80C04"/>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nsid w:val="0CF5450C"/>
    <w:multiLevelType w:val="hybridMultilevel"/>
    <w:tmpl w:val="72A22028"/>
    <w:lvl w:ilvl="0" w:tplc="04090017">
      <w:start w:val="1"/>
      <w:numFmt w:val="lowerLetter"/>
      <w:lvlText w:val="%1)"/>
      <w:lvlJc w:val="left"/>
      <w:pPr>
        <w:tabs>
          <w:tab w:val="num" w:pos="864"/>
        </w:tabs>
        <w:ind w:left="864" w:hanging="360"/>
      </w:pPr>
      <w:rPr>
        <w:rFonts w:cs="Times New Roman" w:hint="default"/>
      </w:rPr>
    </w:lvl>
    <w:lvl w:ilvl="1" w:tplc="E1FC091A">
      <w:start w:val="1"/>
      <w:numFmt w:val="lowerRoman"/>
      <w:lvlText w:val="(%2)"/>
      <w:lvlJc w:val="left"/>
      <w:pPr>
        <w:tabs>
          <w:tab w:val="num" w:pos="1944"/>
        </w:tabs>
        <w:ind w:left="1944" w:hanging="720"/>
      </w:pPr>
      <w:rPr>
        <w:rFonts w:cs="Times New Roman" w:hint="default"/>
      </w:rPr>
    </w:lvl>
    <w:lvl w:ilvl="2" w:tplc="0409001B">
      <w:start w:val="1"/>
      <w:numFmt w:val="lowerRoman"/>
      <w:lvlText w:val="%3."/>
      <w:lvlJc w:val="right"/>
      <w:pPr>
        <w:tabs>
          <w:tab w:val="num" w:pos="2304"/>
        </w:tabs>
        <w:ind w:left="2304" w:hanging="180"/>
      </w:pPr>
      <w:rPr>
        <w:rFonts w:cs="Times New Roman"/>
      </w:rPr>
    </w:lvl>
    <w:lvl w:ilvl="3" w:tplc="0409000F">
      <w:start w:val="1"/>
      <w:numFmt w:val="decimal"/>
      <w:lvlText w:val="%4."/>
      <w:lvlJc w:val="left"/>
      <w:pPr>
        <w:tabs>
          <w:tab w:val="num" w:pos="3024"/>
        </w:tabs>
        <w:ind w:left="3024" w:hanging="360"/>
      </w:pPr>
      <w:rPr>
        <w:rFonts w:cs="Times New Roman"/>
      </w:rPr>
    </w:lvl>
    <w:lvl w:ilvl="4" w:tplc="04090019">
      <w:start w:val="1"/>
      <w:numFmt w:val="lowerLetter"/>
      <w:lvlText w:val="%5."/>
      <w:lvlJc w:val="left"/>
      <w:pPr>
        <w:tabs>
          <w:tab w:val="num" w:pos="3744"/>
        </w:tabs>
        <w:ind w:left="3744" w:hanging="360"/>
      </w:pPr>
      <w:rPr>
        <w:rFonts w:cs="Times New Roman"/>
      </w:rPr>
    </w:lvl>
    <w:lvl w:ilvl="5" w:tplc="0409001B">
      <w:start w:val="1"/>
      <w:numFmt w:val="lowerRoman"/>
      <w:lvlText w:val="%6."/>
      <w:lvlJc w:val="right"/>
      <w:pPr>
        <w:tabs>
          <w:tab w:val="num" w:pos="4464"/>
        </w:tabs>
        <w:ind w:left="4464" w:hanging="180"/>
      </w:pPr>
      <w:rPr>
        <w:rFonts w:cs="Times New Roman"/>
      </w:rPr>
    </w:lvl>
    <w:lvl w:ilvl="6" w:tplc="0409000F">
      <w:start w:val="1"/>
      <w:numFmt w:val="decimal"/>
      <w:lvlText w:val="%7."/>
      <w:lvlJc w:val="left"/>
      <w:pPr>
        <w:tabs>
          <w:tab w:val="num" w:pos="5184"/>
        </w:tabs>
        <w:ind w:left="5184" w:hanging="360"/>
      </w:pPr>
      <w:rPr>
        <w:rFonts w:cs="Times New Roman"/>
      </w:rPr>
    </w:lvl>
    <w:lvl w:ilvl="7" w:tplc="04090019">
      <w:start w:val="1"/>
      <w:numFmt w:val="lowerLetter"/>
      <w:lvlText w:val="%8."/>
      <w:lvlJc w:val="left"/>
      <w:pPr>
        <w:tabs>
          <w:tab w:val="num" w:pos="5904"/>
        </w:tabs>
        <w:ind w:left="5904" w:hanging="360"/>
      </w:pPr>
      <w:rPr>
        <w:rFonts w:cs="Times New Roman"/>
      </w:rPr>
    </w:lvl>
    <w:lvl w:ilvl="8" w:tplc="0409001B">
      <w:start w:val="1"/>
      <w:numFmt w:val="lowerRoman"/>
      <w:lvlText w:val="%9."/>
      <w:lvlJc w:val="right"/>
      <w:pPr>
        <w:tabs>
          <w:tab w:val="num" w:pos="6624"/>
        </w:tabs>
        <w:ind w:left="6624" w:hanging="180"/>
      </w:pPr>
      <w:rPr>
        <w:rFonts w:cs="Times New Roman"/>
      </w:rPr>
    </w:lvl>
  </w:abstractNum>
  <w:abstractNum w:abstractNumId="6">
    <w:nsid w:val="0D7E5EBA"/>
    <w:multiLevelType w:val="hybridMultilevel"/>
    <w:tmpl w:val="B4ACE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3423D0"/>
    <w:multiLevelType w:val="hybridMultilevel"/>
    <w:tmpl w:val="1688A0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69E620B"/>
    <w:multiLevelType w:val="hybridMultilevel"/>
    <w:tmpl w:val="C4D4937E"/>
    <w:lvl w:ilvl="0" w:tplc="C40A6406">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3110B66"/>
    <w:multiLevelType w:val="hybridMultilevel"/>
    <w:tmpl w:val="9788D10C"/>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54D2429"/>
    <w:multiLevelType w:val="hybridMultilevel"/>
    <w:tmpl w:val="818ECD80"/>
    <w:lvl w:ilvl="0" w:tplc="C7E2D976">
      <w:start w:val="1"/>
      <w:numFmt w:val="decimal"/>
      <w:lvlText w:val="%1."/>
      <w:lvlJc w:val="left"/>
      <w:pPr>
        <w:tabs>
          <w:tab w:val="num" w:pos="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1D328F8"/>
    <w:multiLevelType w:val="hybridMultilevel"/>
    <w:tmpl w:val="15547CBC"/>
    <w:lvl w:ilvl="0" w:tplc="BE60EC22">
      <w:start w:val="1"/>
      <w:numFmt w:val="lowerRoman"/>
      <w:lvlText w:val="(%1)"/>
      <w:lvlJc w:val="left"/>
      <w:pPr>
        <w:tabs>
          <w:tab w:val="num" w:pos="2160"/>
        </w:tabs>
        <w:ind w:left="2160" w:hanging="720"/>
      </w:pPr>
      <w:rPr>
        <w:rFonts w:cs="Times New Roman" w:hint="default"/>
      </w:rPr>
    </w:lvl>
    <w:lvl w:ilvl="1" w:tplc="04090005">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3E9108AA"/>
    <w:multiLevelType w:val="hybridMultilevel"/>
    <w:tmpl w:val="06CE49E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3F892443"/>
    <w:multiLevelType w:val="hybridMultilevel"/>
    <w:tmpl w:val="C7CC748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442D36AA"/>
    <w:multiLevelType w:val="hybridMultilevel"/>
    <w:tmpl w:val="F3AA4B8A"/>
    <w:lvl w:ilvl="0" w:tplc="7E4EDA58">
      <w:start w:val="4"/>
      <w:numFmt w:val="low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nsid w:val="47596EB4"/>
    <w:multiLevelType w:val="hybridMultilevel"/>
    <w:tmpl w:val="9F3C2E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7EF5778"/>
    <w:multiLevelType w:val="hybridMultilevel"/>
    <w:tmpl w:val="7EBA38CC"/>
    <w:lvl w:ilvl="0" w:tplc="F98C11D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E05582B"/>
    <w:multiLevelType w:val="hybridMultilevel"/>
    <w:tmpl w:val="D012F1C2"/>
    <w:lvl w:ilvl="0" w:tplc="04090007">
      <w:start w:val="1"/>
      <w:numFmt w:val="bullet"/>
      <w:lvlText w:val=""/>
      <w:lvlJc w:val="left"/>
      <w:pPr>
        <w:tabs>
          <w:tab w:val="num" w:pos="1530"/>
        </w:tabs>
        <w:ind w:left="153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68997F62"/>
    <w:multiLevelType w:val="hybridMultilevel"/>
    <w:tmpl w:val="E4E83F5E"/>
    <w:lvl w:ilvl="0" w:tplc="60F4EEE8">
      <w:start w:val="1"/>
      <w:numFmt w:val="lowerRoman"/>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74180719"/>
    <w:multiLevelType w:val="hybridMultilevel"/>
    <w:tmpl w:val="10F4BC76"/>
    <w:lvl w:ilvl="0" w:tplc="3B8A85F6">
      <w:start w:val="1"/>
      <w:numFmt w:val="lowerRoman"/>
      <w:lvlText w:val="(%1)"/>
      <w:lvlJc w:val="left"/>
      <w:pPr>
        <w:tabs>
          <w:tab w:val="num" w:pos="1008"/>
        </w:tabs>
        <w:ind w:left="1008" w:hanging="504"/>
      </w:pPr>
      <w:rPr>
        <w:rFonts w:cs="Times New Roman" w:hint="default"/>
      </w:rPr>
    </w:lvl>
    <w:lvl w:ilvl="1" w:tplc="8AE85E4C">
      <w:start w:val="4"/>
      <w:numFmt w:val="lowerLetter"/>
      <w:lvlText w:val="%2)"/>
      <w:lvlJc w:val="left"/>
      <w:pPr>
        <w:tabs>
          <w:tab w:val="num" w:pos="1440"/>
        </w:tabs>
        <w:ind w:left="1440" w:hanging="360"/>
      </w:pPr>
      <w:rPr>
        <w:rFonts w:cs="Times New Roman" w:hint="default"/>
        <w:i/>
        <w:i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84376CC"/>
    <w:multiLevelType w:val="hybridMultilevel"/>
    <w:tmpl w:val="662887EC"/>
    <w:lvl w:ilvl="0" w:tplc="6014426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16"/>
  </w:num>
  <w:num w:numId="20">
    <w:abstractNumId w:val="7"/>
  </w:num>
  <w:num w:numId="21">
    <w:abstractNumId w:val="8"/>
  </w:num>
  <w:num w:numId="22">
    <w:abstractNumId w:val="18"/>
  </w:num>
  <w:num w:numId="23">
    <w:abstractNumId w:val="9"/>
  </w:num>
  <w:num w:numId="24">
    <w:abstractNumId w:val="17"/>
  </w:num>
  <w:num w:numId="25">
    <w:abstractNumId w:val="13"/>
  </w:num>
  <w:num w:numId="26">
    <w:abstractNumId w:val="4"/>
  </w:num>
  <w:num w:numId="27">
    <w:abstractNumId w:val="11"/>
  </w:num>
  <w:num w:numId="28">
    <w:abstractNumId w:val="15"/>
  </w:num>
  <w:num w:numId="29">
    <w:abstractNumId w:val="3"/>
  </w:num>
  <w:num w:numId="30">
    <w:abstractNumId w:val="19"/>
  </w:num>
  <w:num w:numId="31">
    <w:abstractNumId w:val="10"/>
  </w:num>
  <w:num w:numId="32">
    <w:abstractNumId w:val="6"/>
  </w:num>
  <w:num w:numId="33">
    <w:abstractNumId w:val="5"/>
  </w:num>
  <w:num w:numId="34">
    <w:abstractNumId w:val="14"/>
  </w:num>
  <w:num w:numId="35">
    <w:abstractNumId w:val="20"/>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80B"/>
    <w:rsid w:val="000004B5"/>
    <w:rsid w:val="0001242B"/>
    <w:rsid w:val="00025901"/>
    <w:rsid w:val="000507B0"/>
    <w:rsid w:val="00060F6E"/>
    <w:rsid w:val="00061897"/>
    <w:rsid w:val="000638BD"/>
    <w:rsid w:val="00077E5A"/>
    <w:rsid w:val="000912DB"/>
    <w:rsid w:val="000C6C51"/>
    <w:rsid w:val="000D6649"/>
    <w:rsid w:val="000E79C2"/>
    <w:rsid w:val="000E7A7A"/>
    <w:rsid w:val="0012208E"/>
    <w:rsid w:val="001276B6"/>
    <w:rsid w:val="00157CE4"/>
    <w:rsid w:val="001A4B5A"/>
    <w:rsid w:val="001A6469"/>
    <w:rsid w:val="001D05AA"/>
    <w:rsid w:val="001D1B50"/>
    <w:rsid w:val="001D344A"/>
    <w:rsid w:val="001E1F7A"/>
    <w:rsid w:val="00211CD4"/>
    <w:rsid w:val="00234B4A"/>
    <w:rsid w:val="002462EC"/>
    <w:rsid w:val="00252672"/>
    <w:rsid w:val="00257731"/>
    <w:rsid w:val="00263AE1"/>
    <w:rsid w:val="0026580B"/>
    <w:rsid w:val="00271409"/>
    <w:rsid w:val="00294751"/>
    <w:rsid w:val="002C6380"/>
    <w:rsid w:val="002F0A7C"/>
    <w:rsid w:val="002F78B0"/>
    <w:rsid w:val="0031021B"/>
    <w:rsid w:val="0032250E"/>
    <w:rsid w:val="0032563B"/>
    <w:rsid w:val="00366056"/>
    <w:rsid w:val="0037234A"/>
    <w:rsid w:val="003C1B09"/>
    <w:rsid w:val="003F7314"/>
    <w:rsid w:val="00425080"/>
    <w:rsid w:val="004410F5"/>
    <w:rsid w:val="00443788"/>
    <w:rsid w:val="00457D9C"/>
    <w:rsid w:val="004A2581"/>
    <w:rsid w:val="004B3107"/>
    <w:rsid w:val="004C0806"/>
    <w:rsid w:val="004C23C0"/>
    <w:rsid w:val="00513DCB"/>
    <w:rsid w:val="0052257A"/>
    <w:rsid w:val="00532EDA"/>
    <w:rsid w:val="0053358B"/>
    <w:rsid w:val="005449BE"/>
    <w:rsid w:val="005505F2"/>
    <w:rsid w:val="0056135B"/>
    <w:rsid w:val="00566CB3"/>
    <w:rsid w:val="00593722"/>
    <w:rsid w:val="00594C62"/>
    <w:rsid w:val="00597172"/>
    <w:rsid w:val="005C34A1"/>
    <w:rsid w:val="005E2451"/>
    <w:rsid w:val="005F1EAA"/>
    <w:rsid w:val="005F27C7"/>
    <w:rsid w:val="005F2BA0"/>
    <w:rsid w:val="0063365C"/>
    <w:rsid w:val="0063401D"/>
    <w:rsid w:val="006471C7"/>
    <w:rsid w:val="00652921"/>
    <w:rsid w:val="0065557B"/>
    <w:rsid w:val="006742B8"/>
    <w:rsid w:val="00676240"/>
    <w:rsid w:val="006821C2"/>
    <w:rsid w:val="007061DE"/>
    <w:rsid w:val="0073573D"/>
    <w:rsid w:val="0074019D"/>
    <w:rsid w:val="007502B7"/>
    <w:rsid w:val="00774113"/>
    <w:rsid w:val="00787D32"/>
    <w:rsid w:val="0079028F"/>
    <w:rsid w:val="007E1A3D"/>
    <w:rsid w:val="008277A4"/>
    <w:rsid w:val="008324C7"/>
    <w:rsid w:val="0086148D"/>
    <w:rsid w:val="008B09F1"/>
    <w:rsid w:val="008C27D8"/>
    <w:rsid w:val="008C486A"/>
    <w:rsid w:val="008D2025"/>
    <w:rsid w:val="008D7C10"/>
    <w:rsid w:val="008E73F1"/>
    <w:rsid w:val="008F2FA7"/>
    <w:rsid w:val="00923CC9"/>
    <w:rsid w:val="00925F47"/>
    <w:rsid w:val="009730AC"/>
    <w:rsid w:val="0097467E"/>
    <w:rsid w:val="009B74C9"/>
    <w:rsid w:val="009E5EE8"/>
    <w:rsid w:val="00A13E6B"/>
    <w:rsid w:val="00A17699"/>
    <w:rsid w:val="00A44908"/>
    <w:rsid w:val="00A465FC"/>
    <w:rsid w:val="00A72C30"/>
    <w:rsid w:val="00AA303A"/>
    <w:rsid w:val="00AC207A"/>
    <w:rsid w:val="00AD5FC7"/>
    <w:rsid w:val="00AF30C5"/>
    <w:rsid w:val="00B12F6E"/>
    <w:rsid w:val="00B2099E"/>
    <w:rsid w:val="00B20D32"/>
    <w:rsid w:val="00B267A7"/>
    <w:rsid w:val="00B26ED2"/>
    <w:rsid w:val="00B753CD"/>
    <w:rsid w:val="00B92D1F"/>
    <w:rsid w:val="00B94C7B"/>
    <w:rsid w:val="00BA61E9"/>
    <w:rsid w:val="00BC5665"/>
    <w:rsid w:val="00BC5F5E"/>
    <w:rsid w:val="00BE0706"/>
    <w:rsid w:val="00C01390"/>
    <w:rsid w:val="00C01844"/>
    <w:rsid w:val="00C53034"/>
    <w:rsid w:val="00C53C39"/>
    <w:rsid w:val="00C6466D"/>
    <w:rsid w:val="00C65D28"/>
    <w:rsid w:val="00CB4A35"/>
    <w:rsid w:val="00CC777C"/>
    <w:rsid w:val="00CF0367"/>
    <w:rsid w:val="00D31A05"/>
    <w:rsid w:val="00D339D0"/>
    <w:rsid w:val="00D44EEA"/>
    <w:rsid w:val="00D63722"/>
    <w:rsid w:val="00D644E7"/>
    <w:rsid w:val="00D9037E"/>
    <w:rsid w:val="00D95D5A"/>
    <w:rsid w:val="00DC275C"/>
    <w:rsid w:val="00DE6066"/>
    <w:rsid w:val="00E051CC"/>
    <w:rsid w:val="00E316B0"/>
    <w:rsid w:val="00E31815"/>
    <w:rsid w:val="00E57C7D"/>
    <w:rsid w:val="00E6055C"/>
    <w:rsid w:val="00E72FA1"/>
    <w:rsid w:val="00E76C0D"/>
    <w:rsid w:val="00E846BD"/>
    <w:rsid w:val="00EA466C"/>
    <w:rsid w:val="00EB1BCE"/>
    <w:rsid w:val="00EE5473"/>
    <w:rsid w:val="00EF672E"/>
    <w:rsid w:val="00F050FD"/>
    <w:rsid w:val="00F26B7F"/>
    <w:rsid w:val="00F61B23"/>
    <w:rsid w:val="00F77EDC"/>
    <w:rsid w:val="00F800AC"/>
    <w:rsid w:val="00F81AB5"/>
    <w:rsid w:val="00F85C28"/>
    <w:rsid w:val="00FC1314"/>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0B"/>
    <w:rPr>
      <w:rFonts w:ascii="Times New Roman" w:eastAsia="Times New Roman" w:hAnsi="Times New Roman"/>
      <w:sz w:val="24"/>
      <w:szCs w:val="24"/>
    </w:rPr>
  </w:style>
  <w:style w:type="paragraph" w:styleId="Heading1">
    <w:name w:val="heading 1"/>
    <w:basedOn w:val="Normal"/>
    <w:next w:val="Normal"/>
    <w:link w:val="Heading1Char1"/>
    <w:autoRedefine/>
    <w:uiPriority w:val="99"/>
    <w:qFormat/>
    <w:locked/>
    <w:rsid w:val="002462EC"/>
    <w:pPr>
      <w:keepNext/>
      <w:jc w:val="both"/>
      <w:outlineLvl w:val="0"/>
    </w:pPr>
    <w:rPr>
      <w:rFonts w:ascii="Times New Roman Bold" w:eastAsia="Calibri" w:hAnsi="Times New Roman Bold" w:cs="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7502B7"/>
    <w:rPr>
      <w:rFonts w:ascii="Cambria" w:hAnsi="Cambria" w:cs="Cambria"/>
      <w:b/>
      <w:bCs/>
      <w:kern w:val="32"/>
      <w:sz w:val="32"/>
      <w:szCs w:val="32"/>
    </w:rPr>
  </w:style>
  <w:style w:type="paragraph" w:styleId="FootnoteText">
    <w:name w:val="footnote text"/>
    <w:basedOn w:val="Normal"/>
    <w:link w:val="FootnoteTextChar"/>
    <w:uiPriority w:val="99"/>
    <w:semiHidden/>
    <w:rsid w:val="0026580B"/>
    <w:rPr>
      <w:sz w:val="20"/>
      <w:szCs w:val="20"/>
    </w:rPr>
  </w:style>
  <w:style w:type="character" w:customStyle="1" w:styleId="FootnoteTextChar">
    <w:name w:val="Footnote Text Char"/>
    <w:link w:val="FootnoteText"/>
    <w:uiPriority w:val="99"/>
    <w:semiHidden/>
    <w:locked/>
    <w:rsid w:val="0026580B"/>
    <w:rPr>
      <w:rFonts w:ascii="Times New Roman" w:hAnsi="Times New Roman" w:cs="Times New Roman"/>
      <w:sz w:val="20"/>
      <w:szCs w:val="20"/>
    </w:rPr>
  </w:style>
  <w:style w:type="paragraph" w:styleId="BodyText2">
    <w:name w:val="Body Text 2"/>
    <w:basedOn w:val="Normal"/>
    <w:link w:val="BodyText2Char"/>
    <w:uiPriority w:val="99"/>
    <w:rsid w:val="0026580B"/>
    <w:pPr>
      <w:tabs>
        <w:tab w:val="left" w:pos="-720"/>
      </w:tabs>
      <w:suppressAutoHyphens/>
      <w:jc w:val="both"/>
    </w:pPr>
    <w:rPr>
      <w:spacing w:val="-2"/>
      <w:lang w:eastAsia="it-IT"/>
    </w:rPr>
  </w:style>
  <w:style w:type="character" w:customStyle="1" w:styleId="BodyText2Char">
    <w:name w:val="Body Text 2 Char"/>
    <w:link w:val="BodyText2"/>
    <w:uiPriority w:val="99"/>
    <w:locked/>
    <w:rsid w:val="0026580B"/>
    <w:rPr>
      <w:rFonts w:ascii="Times New Roman" w:hAnsi="Times New Roman" w:cs="Times New Roman"/>
      <w:spacing w:val="-2"/>
      <w:sz w:val="20"/>
      <w:szCs w:val="20"/>
      <w:lang w:eastAsia="it-IT"/>
    </w:rPr>
  </w:style>
  <w:style w:type="character" w:styleId="FootnoteReference">
    <w:name w:val="footnote reference"/>
    <w:uiPriority w:val="99"/>
    <w:semiHidden/>
    <w:rsid w:val="0026580B"/>
    <w:rPr>
      <w:rFonts w:cs="Times New Roman"/>
      <w:vertAlign w:val="superscript"/>
    </w:rPr>
  </w:style>
  <w:style w:type="paragraph" w:styleId="BodyText">
    <w:name w:val="Body Text"/>
    <w:basedOn w:val="Normal"/>
    <w:link w:val="BodyTextChar"/>
    <w:uiPriority w:val="99"/>
    <w:rsid w:val="002462EC"/>
    <w:pPr>
      <w:spacing w:after="120"/>
    </w:pPr>
  </w:style>
  <w:style w:type="character" w:customStyle="1" w:styleId="BodyTextChar">
    <w:name w:val="Body Text Char"/>
    <w:link w:val="BodyText"/>
    <w:uiPriority w:val="99"/>
    <w:semiHidden/>
    <w:locked/>
    <w:rsid w:val="007502B7"/>
    <w:rPr>
      <w:rFonts w:ascii="Times New Roman" w:hAnsi="Times New Roman" w:cs="Times New Roman"/>
      <w:sz w:val="24"/>
      <w:szCs w:val="24"/>
    </w:rPr>
  </w:style>
  <w:style w:type="paragraph" w:styleId="BodyTextIndent2">
    <w:name w:val="Body Text Indent 2"/>
    <w:basedOn w:val="Normal"/>
    <w:link w:val="BodyTextIndent2Char"/>
    <w:uiPriority w:val="99"/>
    <w:rsid w:val="002462EC"/>
    <w:pPr>
      <w:spacing w:after="120" w:line="480" w:lineRule="auto"/>
      <w:ind w:left="360"/>
    </w:pPr>
  </w:style>
  <w:style w:type="character" w:customStyle="1" w:styleId="BodyTextIndent2Char">
    <w:name w:val="Body Text Indent 2 Char"/>
    <w:link w:val="BodyTextIndent2"/>
    <w:uiPriority w:val="99"/>
    <w:semiHidden/>
    <w:locked/>
    <w:rsid w:val="007502B7"/>
    <w:rPr>
      <w:rFonts w:ascii="Times New Roman" w:hAnsi="Times New Roman" w:cs="Times New Roman"/>
      <w:sz w:val="24"/>
      <w:szCs w:val="24"/>
    </w:rPr>
  </w:style>
  <w:style w:type="paragraph" w:styleId="Header">
    <w:name w:val="header"/>
    <w:basedOn w:val="Normal"/>
    <w:link w:val="HeaderChar1"/>
    <w:uiPriority w:val="99"/>
    <w:rsid w:val="002462EC"/>
    <w:pPr>
      <w:tabs>
        <w:tab w:val="center" w:pos="4320"/>
        <w:tab w:val="right" w:pos="8640"/>
      </w:tabs>
    </w:pPr>
    <w:rPr>
      <w:rFonts w:eastAsia="Calibri"/>
      <w:sz w:val="20"/>
      <w:szCs w:val="20"/>
    </w:rPr>
  </w:style>
  <w:style w:type="character" w:customStyle="1" w:styleId="HeaderChar">
    <w:name w:val="Header Char"/>
    <w:uiPriority w:val="99"/>
    <w:semiHidden/>
    <w:locked/>
    <w:rsid w:val="007502B7"/>
    <w:rPr>
      <w:rFonts w:ascii="Times New Roman" w:hAnsi="Times New Roman" w:cs="Times New Roman"/>
      <w:sz w:val="24"/>
      <w:szCs w:val="24"/>
    </w:rPr>
  </w:style>
  <w:style w:type="character" w:styleId="Hyperlink">
    <w:name w:val="Hyperlink"/>
    <w:uiPriority w:val="99"/>
    <w:rsid w:val="002462EC"/>
    <w:rPr>
      <w:rFonts w:cs="Times New Roman"/>
      <w:color w:val="0000FF"/>
      <w:u w:val="single"/>
    </w:rPr>
  </w:style>
  <w:style w:type="paragraph" w:styleId="Title">
    <w:name w:val="Title"/>
    <w:basedOn w:val="Normal"/>
    <w:link w:val="TitleChar"/>
    <w:uiPriority w:val="99"/>
    <w:qFormat/>
    <w:locked/>
    <w:rsid w:val="002462EC"/>
    <w:pPr>
      <w:overflowPunct w:val="0"/>
      <w:autoSpaceDE w:val="0"/>
      <w:autoSpaceDN w:val="0"/>
      <w:adjustRightInd w:val="0"/>
      <w:jc w:val="center"/>
      <w:textAlignment w:val="baseline"/>
    </w:pPr>
    <w:rPr>
      <w:rFonts w:eastAsia="Calibri"/>
      <w:b/>
      <w:bCs/>
    </w:rPr>
  </w:style>
  <w:style w:type="character" w:customStyle="1" w:styleId="TitleChar">
    <w:name w:val="Title Char"/>
    <w:link w:val="Title"/>
    <w:uiPriority w:val="99"/>
    <w:locked/>
    <w:rsid w:val="007502B7"/>
    <w:rPr>
      <w:rFonts w:ascii="Cambria" w:hAnsi="Cambria" w:cs="Cambria"/>
      <w:b/>
      <w:bCs/>
      <w:kern w:val="28"/>
      <w:sz w:val="32"/>
      <w:szCs w:val="32"/>
    </w:rPr>
  </w:style>
  <w:style w:type="character" w:customStyle="1" w:styleId="Heading1Char1">
    <w:name w:val="Heading 1 Char1"/>
    <w:link w:val="Heading1"/>
    <w:uiPriority w:val="99"/>
    <w:locked/>
    <w:rsid w:val="002462EC"/>
    <w:rPr>
      <w:rFonts w:ascii="Times New Roman Bold" w:hAnsi="Times New Roman Bold" w:cs="Times New Roman Bold"/>
      <w:b/>
      <w:bCs/>
      <w:caps/>
      <w:sz w:val="24"/>
      <w:szCs w:val="24"/>
      <w:lang w:val="en-US" w:eastAsia="en-US"/>
    </w:rPr>
  </w:style>
  <w:style w:type="character" w:customStyle="1" w:styleId="HeaderChar1">
    <w:name w:val="Header Char1"/>
    <w:link w:val="Header"/>
    <w:uiPriority w:val="99"/>
    <w:semiHidden/>
    <w:locked/>
    <w:rsid w:val="002462EC"/>
    <w:rPr>
      <w:rFonts w:cs="Times New Roman"/>
      <w:lang w:val="en-US" w:eastAsia="en-US"/>
    </w:rPr>
  </w:style>
  <w:style w:type="paragraph" w:styleId="PlainText">
    <w:name w:val="Plain Text"/>
    <w:basedOn w:val="Normal"/>
    <w:link w:val="PlainTextChar"/>
    <w:uiPriority w:val="99"/>
    <w:rsid w:val="002462EC"/>
    <w:pPr>
      <w:widowControl w:val="0"/>
      <w:jc w:val="both"/>
    </w:pPr>
    <w:rPr>
      <w:rFonts w:ascii="Courier New" w:eastAsia="Calibri" w:hAnsi="Courier New" w:cs="Courier New"/>
      <w:kern w:val="2"/>
      <w:sz w:val="20"/>
      <w:szCs w:val="20"/>
      <w:lang w:eastAsia="nl-NL"/>
    </w:rPr>
  </w:style>
  <w:style w:type="character" w:customStyle="1" w:styleId="PlainTextChar">
    <w:name w:val="Plain Text Char"/>
    <w:link w:val="PlainText"/>
    <w:uiPriority w:val="99"/>
    <w:semiHidden/>
    <w:locked/>
    <w:rsid w:val="007502B7"/>
    <w:rPr>
      <w:rFonts w:ascii="Courier New" w:hAnsi="Courier New" w:cs="Courier New"/>
      <w:sz w:val="20"/>
      <w:szCs w:val="20"/>
    </w:rPr>
  </w:style>
  <w:style w:type="paragraph" w:styleId="ListBullet">
    <w:name w:val="List Bullet"/>
    <w:basedOn w:val="Normal"/>
    <w:autoRedefine/>
    <w:uiPriority w:val="99"/>
    <w:rsid w:val="002462EC"/>
    <w:pPr>
      <w:numPr>
        <w:numId w:val="21"/>
      </w:numPr>
      <w:spacing w:before="120" w:after="120"/>
      <w:jc w:val="both"/>
    </w:pPr>
    <w:rPr>
      <w:rFonts w:eastAsia="Calibri"/>
    </w:rPr>
  </w:style>
  <w:style w:type="paragraph" w:styleId="Footer">
    <w:name w:val="footer"/>
    <w:basedOn w:val="Normal"/>
    <w:link w:val="FooterChar"/>
    <w:uiPriority w:val="99"/>
    <w:rsid w:val="009B74C9"/>
    <w:pPr>
      <w:tabs>
        <w:tab w:val="center" w:pos="4320"/>
        <w:tab w:val="right" w:pos="8640"/>
      </w:tabs>
    </w:pPr>
  </w:style>
  <w:style w:type="character" w:customStyle="1" w:styleId="FooterChar">
    <w:name w:val="Footer Char"/>
    <w:link w:val="Footer"/>
    <w:uiPriority w:val="99"/>
    <w:semiHidden/>
    <w:locked/>
    <w:rsid w:val="007502B7"/>
    <w:rPr>
      <w:rFonts w:ascii="Times New Roman" w:hAnsi="Times New Roman" w:cs="Times New Roman"/>
      <w:sz w:val="24"/>
      <w:szCs w:val="24"/>
    </w:rPr>
  </w:style>
  <w:style w:type="character" w:styleId="PageNumber">
    <w:name w:val="page number"/>
    <w:uiPriority w:val="99"/>
    <w:rsid w:val="009B74C9"/>
    <w:rPr>
      <w:rFonts w:cs="Times New Roman"/>
    </w:rPr>
  </w:style>
  <w:style w:type="character" w:customStyle="1" w:styleId="CharChar">
    <w:name w:val="Char Char"/>
    <w:uiPriority w:val="99"/>
    <w:semiHidden/>
    <w:rsid w:val="000638BD"/>
    <w:rPr>
      <w:rFonts w:cs="Times New Roman"/>
      <w:lang w:val="en-US" w:eastAsia="en-US"/>
    </w:rPr>
  </w:style>
  <w:style w:type="paragraph" w:customStyle="1" w:styleId="Ahead">
    <w:name w:val="A head"/>
    <w:basedOn w:val="Normal"/>
    <w:uiPriority w:val="99"/>
    <w:rsid w:val="000638BD"/>
    <w:pPr>
      <w:keepNext/>
      <w:suppressAutoHyphens/>
      <w:spacing w:before="240" w:after="240"/>
      <w:jc w:val="both"/>
    </w:pPr>
    <w:rPr>
      <w:rFonts w:ascii="Tahoma" w:eastAsia="Calibri" w:hAnsi="Tahoma" w:cs="Tahoma"/>
      <w:b/>
      <w:bCs/>
      <w:kern w:val="1"/>
      <w:sz w:val="32"/>
      <w:szCs w:val="32"/>
      <w:lang w:val="en-GB" w:eastAsia="ar-SA"/>
    </w:rPr>
  </w:style>
  <w:style w:type="paragraph" w:styleId="BalloonText">
    <w:name w:val="Balloon Text"/>
    <w:basedOn w:val="Normal"/>
    <w:link w:val="BalloonTextChar"/>
    <w:uiPriority w:val="99"/>
    <w:semiHidden/>
    <w:rsid w:val="00566CB3"/>
    <w:rPr>
      <w:rFonts w:ascii="Tahoma" w:hAnsi="Tahoma" w:cs="Tahoma"/>
      <w:sz w:val="16"/>
      <w:szCs w:val="16"/>
    </w:rPr>
  </w:style>
  <w:style w:type="character" w:customStyle="1" w:styleId="BalloonTextChar">
    <w:name w:val="Balloon Text Char"/>
    <w:link w:val="BalloonText"/>
    <w:uiPriority w:val="99"/>
    <w:semiHidden/>
    <w:locked/>
    <w:rsid w:val="00566CB3"/>
    <w:rPr>
      <w:rFonts w:ascii="Tahoma" w:hAnsi="Tahoma" w:cs="Tahoma"/>
      <w:sz w:val="16"/>
      <w:szCs w:val="16"/>
    </w:rPr>
  </w:style>
  <w:style w:type="paragraph" w:styleId="DocumentMap">
    <w:name w:val="Document Map"/>
    <w:basedOn w:val="Normal"/>
    <w:link w:val="DocumentMapChar"/>
    <w:uiPriority w:val="99"/>
    <w:semiHidden/>
    <w:rsid w:val="00EF672E"/>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E3534B"/>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1512</Words>
  <Characters>8623</Characters>
  <Application>Microsoft Office Word</Application>
  <DocSecurity>0</DocSecurity>
  <Lines>71</Lines>
  <Paragraphs>20</Paragraphs>
  <ScaleCrop>false</ScaleCrop>
  <Company>The World Bank Group</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TERM OF REFERENCE AND SCOPE OF SERVICES</dc:title>
  <dc:subject/>
  <dc:creator>Anh Pham</dc:creator>
  <cp:keywords/>
  <dc:description/>
  <cp:lastModifiedBy>Renewable Energy Development Project</cp:lastModifiedBy>
  <cp:revision>8</cp:revision>
  <cp:lastPrinted>2011-06-20T00:24:00Z</cp:lastPrinted>
  <dcterms:created xsi:type="dcterms:W3CDTF">2013-07-16T10:48:00Z</dcterms:created>
  <dcterms:modified xsi:type="dcterms:W3CDTF">2013-07-30T08:41:00Z</dcterms:modified>
</cp:coreProperties>
</file>