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color w:val="00B0F0"/>
          <w:sz w:val="40"/>
          <w:b/>
          <w:szCs w:val="40"/>
          <w:rFonts w:ascii="Calibri" w:cs="Calibri" w:hAnsi="Calibri"/>
        </w:rPr>
        <w:t>CONSULTANCY NOTICE SPG 2013-01</w:t>
      </w:r>
    </w:p>
    <w:p>
      <w:pPr>
        <w:pStyle w:val="style0"/>
        <w:jc w:val="center"/>
      </w:pPr>
      <w:r>
        <w:rPr>
          <w:sz w:val="22"/>
          <w:b/>
          <w:szCs w:val="22"/>
          <w:rFonts w:ascii="Calibri" w:cs="Calibri" w:hAnsi="Calibri"/>
        </w:rPr>
      </w:r>
    </w:p>
    <w:p>
      <w:pPr>
        <w:pStyle w:val="style0"/>
        <w:jc w:val="both"/>
      </w:pPr>
      <w:r>
        <w:rPr>
          <w:color w:val="009CFD"/>
          <w:sz w:val="28"/>
          <w:b/>
          <w:szCs w:val="28"/>
          <w:rFonts w:ascii="Arial" w:cs="Arial" w:hAnsi="Arial"/>
        </w:rPr>
        <w:t>Summary</w:t>
      </w:r>
    </w:p>
    <w:p>
      <w:pPr>
        <w:pStyle w:val="style0"/>
        <w:jc w:val="both"/>
      </w:pPr>
      <w:r>
        <w:rPr>
          <w:b/>
          <w:rFonts w:ascii="Arial" w:cs="Arial" w:hAnsi="Arial"/>
        </w:rPr>
      </w:r>
    </w:p>
    <w:tbl>
      <w:tblPr>
        <w:tblBorders>
          <w:top w:color="00000A" w:space="0" w:sz="4" w:val="single"/>
          <w:left w:color="00000A" w:space="0" w:sz="4" w:val="single"/>
          <w:bottom w:color="00000A" w:space="0" w:sz="4" w:val="single"/>
          <w:right w:color="00000A" w:space="0" w:sz="4" w:val="single"/>
        </w:tblBorders>
        <w:jc w:val="left"/>
        <w:tblInd w:type="dxa" w:w="-108"/>
      </w:tblPr>
      <w:tblGrid>
        <w:gridCol w:w="2988"/>
        <w:gridCol w:w="9564"/>
      </w:tblGrid>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Title</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pPr>
            <w:r>
              <w:rPr>
                <w:sz w:val="22"/>
                <w:szCs w:val="22"/>
                <w:rFonts w:ascii="Calibri" w:cs="Calibri" w:hAnsi="Calibri"/>
              </w:rPr>
              <w:t>Individual consultant to support the National Academy for Public Administration (NAPA) in training programme development on result based planning, monitoring and evaluation (PM&amp;E)</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Purpose</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This consultancy will help develop the institutional capacity of the Government of Viet Nam at both national and sub-national level on result based PM&amp;E through NAPA.</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Location</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Viet Nam</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Duration</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27 working days</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Start Date</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1st July 2013</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Reporting to</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Social Policy and Governance Specialist</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WBS/PBA Expiry Date</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31/12/2013</w:t>
            </w:r>
          </w:p>
        </w:tc>
      </w:tr>
      <w:tr>
        <w:trPr>
          <w:cantSplit w:val="off"/>
        </w:trPr>
        <w:tc>
          <w:tcPr>
            <w:tcBorders>
              <w:top w:color="00000A" w:space="0" w:sz="4" w:val="single"/>
              <w:left w:color="00000A" w:space="0" w:sz="4" w:val="single"/>
              <w:bottom w:color="00000A" w:space="0" w:sz="4" w:val="single"/>
              <w:right w:color="00000A" w:space="0" w:sz="4" w:val="single"/>
            </w:tcBorders>
            <w:shd w:fill="FFFFFF"/>
            <w:tcW w:type="dxa" w:w="2988"/>
            <w:tcMar>
              <w:top w:type="dxa" w:w="0"/>
              <w:left w:type="dxa" w:w="108"/>
              <w:bottom w:type="dxa" w:w="0"/>
              <w:right w:type="dxa" w:w="108"/>
            </w:tcMar>
          </w:tcPr>
          <w:p>
            <w:pPr>
              <w:pStyle w:val="style0"/>
              <w:jc w:val="both"/>
            </w:pPr>
            <w:r>
              <w:rPr>
                <w:sz w:val="22"/>
                <w:b/>
                <w:szCs w:val="22"/>
                <w:bCs/>
                <w:rFonts w:ascii="Calibri" w:cs="Calibri" w:hAnsi="Calibri"/>
              </w:rPr>
              <w:t>Project and activity codes</w:t>
            </w:r>
          </w:p>
        </w:tc>
        <w:tc>
          <w:tcPr>
            <w:tcBorders>
              <w:top w:color="00000A" w:space="0" w:sz="4" w:val="single"/>
              <w:left w:color="00000A" w:space="0" w:sz="4" w:val="single"/>
              <w:bottom w:color="00000A" w:space="0" w:sz="4" w:val="single"/>
              <w:right w:color="00000A" w:space="0" w:sz="4" w:val="single"/>
            </w:tcBorders>
            <w:shd w:fill="FFFFFF"/>
            <w:tcW w:type="dxa" w:w="9564"/>
            <w:tcMar>
              <w:top w:type="dxa" w:w="0"/>
              <w:left w:type="dxa" w:w="108"/>
              <w:bottom w:type="dxa" w:w="0"/>
              <w:right w:type="dxa" w:w="108"/>
            </w:tcMar>
          </w:tcPr>
          <w:p>
            <w:pPr>
              <w:pStyle w:val="style0"/>
              <w:jc w:val="both"/>
            </w:pPr>
            <w:r>
              <w:rPr>
                <w:sz w:val="22"/>
                <w:szCs w:val="22"/>
                <w:bCs/>
                <w:rFonts w:ascii="Calibri" w:cs="Calibri" w:hAnsi="Calibri"/>
              </w:rPr>
              <w:t>MPI Multi-year Work Plan (2012-2013) – Activity # 4.</w:t>
            </w:r>
          </w:p>
        </w:tc>
      </w:tr>
    </w:tbl>
    <w:p>
      <w:pPr>
        <w:pStyle w:val="style0"/>
        <w:jc w:val="center"/>
      </w:pPr>
      <w:r>
        <w:rPr>
          <w:sz w:val="22"/>
          <w:b/>
          <w:szCs w:val="22"/>
          <w:rFonts w:ascii="Calibri" w:cs="Calibri" w:hAnsi="Calibri"/>
        </w:rPr>
      </w:r>
    </w:p>
    <w:p>
      <w:pPr>
        <w:pStyle w:val="style0"/>
        <w:jc w:val="both"/>
      </w:pPr>
      <w:r>
        <w:rPr>
          <w:color w:val="009CFD"/>
          <w:sz w:val="28"/>
          <w:b/>
          <w:szCs w:val="28"/>
          <w:rFonts w:ascii="Arial" w:cs="Arial" w:hAnsi="Arial"/>
        </w:rPr>
        <w:t>Background</w:t>
      </w:r>
    </w:p>
    <w:p>
      <w:pPr>
        <w:pStyle w:val="style0"/>
        <w:jc w:val="both"/>
        <w:ind w:hanging="0" w:left="720" w:right="0"/>
      </w:pPr>
      <w:r>
        <w:rPr/>
      </w:r>
    </w:p>
    <w:p>
      <w:pPr>
        <w:pStyle w:val="style0"/>
        <w:jc w:val="both"/>
        <w:ind w:hanging="0" w:left="720" w:right="0"/>
      </w:pPr>
      <w:r>
        <w:rPr>
          <w:sz w:val="22"/>
          <w:szCs w:val="22"/>
          <w:bCs/>
          <w:rFonts w:ascii="Calibri" w:cs="Calibri" w:hAnsi="Calibri"/>
        </w:rPr>
        <w:t xml:space="preserve">Since 2006, UNICEF Viet Nam has been working with the Ministry of Planning and Investment and six provinces (An Giang, Dong Thap, Dien Bien, Kon Tum, Ninh Thuan and Ho Chi Minh City) to support the reform of planning, monitoring and evaluation for SEDP with a strong focus on results based, participatory and child sensitive approaches. Continued in the new country programme 2012-2016, these efforts foster capturing citizen’s feedback during the PM&amp;E reforms in a qualitative way through the use of different feedback tools including citizen report card, community score card, public expenditure tracking survey, and child rights based social audits. The programme has facilitated a number of training courses on PM&amp;E reforms at the central level and in the project provinces, which empowered officials to asses and adapt their social policies and programmes. </w:t>
      </w:r>
    </w:p>
    <w:p>
      <w:pPr>
        <w:pStyle w:val="style0"/>
        <w:jc w:val="both"/>
        <w:ind w:hanging="0" w:left="720" w:right="0"/>
      </w:pPr>
      <w:r>
        <w:rPr>
          <w:sz w:val="22"/>
          <w:szCs w:val="22"/>
          <w:bCs/>
          <w:rFonts w:ascii="Calibri" w:cs="Calibri" w:hAnsi="Calibri"/>
        </w:rPr>
      </w:r>
    </w:p>
    <w:p>
      <w:pPr>
        <w:pStyle w:val="style0"/>
        <w:jc w:val="both"/>
        <w:ind w:hanging="0" w:left="720" w:right="0"/>
      </w:pPr>
      <w:r>
        <w:rPr>
          <w:sz w:val="22"/>
          <w:szCs w:val="22"/>
          <w:bCs/>
          <w:rFonts w:ascii="Calibri" w:cs="Calibri" w:hAnsi="Calibri"/>
        </w:rPr>
        <w:t>Within the 2012-2016 programme, UNICEF has set up a partnership with the National Academy for Public Administration (NAPA). NAPA has as mission to build capacity for the Government’s officials on public administration and state management. The cooperation between UNICEF and NAPA aims for increased awareness and strengthened capacity of senior government officials at national and sub-national levels in PM&amp;E reform and more particularly in capturing citizens' feedback in monitoring and evaluating public services with focus on children in a sustainable and systematic manner.</w:t>
      </w:r>
    </w:p>
    <w:p>
      <w:pPr>
        <w:pStyle w:val="style0"/>
        <w:jc w:val="both"/>
        <w:ind w:hanging="0" w:left="720" w:right="0"/>
      </w:pPr>
      <w:r>
        <w:rPr>
          <w:sz w:val="22"/>
          <w:szCs w:val="22"/>
          <w:bCs/>
          <w:rFonts w:ascii="Calibri" w:cs="Calibri" w:hAnsi="Calibri"/>
        </w:rPr>
      </w:r>
    </w:p>
    <w:p>
      <w:pPr>
        <w:pStyle w:val="style0"/>
        <w:jc w:val="both"/>
        <w:ind w:hanging="0" w:left="720" w:right="0"/>
      </w:pPr>
      <w:r>
        <w:rPr>
          <w:sz w:val="22"/>
          <w:szCs w:val="22"/>
          <w:bCs/>
          <w:rFonts w:ascii="Calibri" w:cs="Calibri" w:hAnsi="Calibri"/>
        </w:rPr>
        <w:t>NAPA training programmes have been designed under three main forms including: (1) In-service training for Government officials (senior officials, principal officials and officials); (2) Undergraduate and post-graduate education (bachelor and master degrees); and (3) Short training courses. Recently, under the programme on Public Administration Reforms (PAR), the Ministry of Home Affairs has requested NAPA to design three special training courses for chairpersons of district people’s committees, chairpersons of provincial people’s committees and directors of line ministries’ departments. One of these short-term training courses will be supported by UNICEF and is the object of this assignment.</w:t>
      </w:r>
    </w:p>
    <w:p>
      <w:pPr>
        <w:pStyle w:val="style0"/>
        <w:jc w:val="both"/>
        <w:ind w:hanging="0" w:left="720" w:right="0"/>
      </w:pPr>
      <w:r>
        <w:rPr>
          <w:sz w:val="22"/>
          <w:szCs w:val="22"/>
          <w:bCs/>
          <w:rFonts w:ascii="Calibri" w:cs="Calibri" w:hAnsi="Calibri"/>
        </w:rPr>
      </w:r>
    </w:p>
    <w:p>
      <w:pPr>
        <w:pStyle w:val="style0"/>
        <w:jc w:val="both"/>
        <w:ind w:hanging="0" w:left="720" w:right="0"/>
      </w:pPr>
      <w:r>
        <w:rPr>
          <w:sz w:val="22"/>
          <w:szCs w:val="22"/>
          <w:bCs/>
          <w:rFonts w:ascii="Calibri" w:cs="Calibri" w:hAnsi="Calibri"/>
        </w:rPr>
      </w:r>
    </w:p>
    <w:p>
      <w:pPr>
        <w:pStyle w:val="style0"/>
        <w:jc w:val="both"/>
        <w:tabs>
          <w:tab w:leader="none" w:pos="720" w:val="left"/>
        </w:tabs>
        <w:spacing w:after="120" w:before="0" w:line="276" w:lineRule="atLeast"/>
      </w:pPr>
      <w:r>
        <w:rPr>
          <w:sz w:val="20"/>
          <w:szCs w:val="20"/>
          <w:rFonts w:cs="Arial"/>
          <w:lang w:val="en-GB"/>
        </w:rPr>
      </w:r>
    </w:p>
    <w:p>
      <w:pPr>
        <w:pStyle w:val="style0"/>
        <w:jc w:val="both"/>
      </w:pPr>
      <w:r>
        <w:rPr>
          <w:color w:val="009CFD"/>
          <w:sz w:val="28"/>
          <w:b/>
          <w:szCs w:val="28"/>
          <w:rFonts w:ascii="Arial" w:cs="Arial" w:hAnsi="Arial"/>
        </w:rPr>
        <w:t>Purposes, Objectives, Scope and Focus, Conceptual Framework</w:t>
      </w:r>
    </w:p>
    <w:p>
      <w:pPr>
        <w:pStyle w:val="style0"/>
        <w:jc w:val="both"/>
      </w:pPr>
      <w:r>
        <w:rPr>
          <w:sz w:val="22"/>
          <w:b/>
          <w:szCs w:val="22"/>
          <w:rFonts w:ascii="Calibri" w:cs="Calibri" w:hAnsi="Calibri"/>
        </w:rPr>
        <w:tab/>
      </w:r>
    </w:p>
    <w:p>
      <w:pPr>
        <w:pStyle w:val="style0"/>
        <w:jc w:val="both"/>
        <w:ind w:hanging="0" w:left="720" w:right="0"/>
      </w:pPr>
      <w:r>
        <w:rPr>
          <w:sz w:val="22"/>
          <w:u w:val="single"/>
          <w:b/>
          <w:szCs w:val="22"/>
          <w:rFonts w:ascii="Calibri" w:cs="Calibri" w:hAnsi="Calibri"/>
        </w:rPr>
        <w:t>Purpose:</w:t>
      </w:r>
      <w:r>
        <w:rPr>
          <w:sz w:val="22"/>
          <w:b/>
          <w:szCs w:val="22"/>
          <w:rFonts w:ascii="Calibri" w:cs="Calibri" w:hAnsi="Calibri"/>
        </w:rPr>
        <w:t xml:space="preserve"> </w:t>
      </w:r>
    </w:p>
    <w:p>
      <w:pPr>
        <w:pStyle w:val="style0"/>
        <w:jc w:val="both"/>
        <w:ind w:hanging="0" w:left="720" w:right="0"/>
      </w:pPr>
      <w:r>
        <w:rPr>
          <w:sz w:val="22"/>
          <w:szCs w:val="22"/>
          <w:bCs/>
          <w:rFonts w:ascii="Calibri" w:cs="Calibri" w:hAnsi="Calibri"/>
        </w:rPr>
        <w:t>This consultancy will help develop the institutional capacity of the Government of Viet Nam at both national and sub-national level on result based PM&amp;E through NAPA.</w:t>
      </w:r>
    </w:p>
    <w:p>
      <w:pPr>
        <w:pStyle w:val="style0"/>
        <w:jc w:val="both"/>
        <w:ind w:hanging="0" w:left="720" w:right="0"/>
      </w:pPr>
      <w:r>
        <w:rPr>
          <w:sz w:val="22"/>
          <w:szCs w:val="22"/>
          <w:bCs/>
          <w:rFonts w:ascii="Calibri" w:cs="Calibri" w:hAnsi="Calibri"/>
        </w:rPr>
      </w:r>
    </w:p>
    <w:p>
      <w:pPr>
        <w:pStyle w:val="style0"/>
        <w:jc w:val="both"/>
        <w:ind w:hanging="0" w:left="720" w:right="0"/>
      </w:pPr>
      <w:r>
        <w:rPr>
          <w:sz w:val="22"/>
          <w:u w:val="single"/>
          <w:b/>
          <w:szCs w:val="22"/>
          <w:rFonts w:ascii="Calibri" w:cs="Calibri" w:hAnsi="Calibri"/>
        </w:rPr>
        <w:t>Objective</w:t>
      </w:r>
      <w:r>
        <w:rPr>
          <w:sz w:val="22"/>
          <w:b/>
          <w:szCs w:val="22"/>
          <w:rFonts w:ascii="Calibri" w:cs="Calibri" w:hAnsi="Calibri"/>
        </w:rPr>
        <w:t xml:space="preserve">(s): </w:t>
      </w:r>
    </w:p>
    <w:p>
      <w:pPr>
        <w:pStyle w:val="style0"/>
        <w:jc w:val="both"/>
      </w:pPr>
      <w:r>
        <w:rPr/>
      </w:r>
    </w:p>
    <w:p>
      <w:pPr>
        <w:pStyle w:val="style0"/>
        <w:jc w:val="both"/>
        <w:ind w:hanging="0" w:left="720" w:right="0"/>
      </w:pPr>
      <w:r>
        <w:rPr>
          <w:sz w:val="22"/>
          <w:szCs w:val="22"/>
          <w:bCs/>
          <w:rFonts w:ascii="Calibri" w:cs="Calibri" w:hAnsi="Calibri"/>
        </w:rPr>
        <w:t>The objective of this consultancy is to develop a training module, including course materials, on result-based PM&amp;E and citizen feedback mechanisms and to train NAPA trainers to deliver the course. Target audiences for the course include chairpersons of district people’s committees, chairpersons of provincial people’s committees, and directors of line ministries’ departments.</w:t>
      </w:r>
    </w:p>
    <w:p>
      <w:pPr>
        <w:pStyle w:val="style0"/>
        <w:jc w:val="both"/>
        <w:ind w:hanging="0" w:left="1440" w:right="0"/>
      </w:pPr>
      <w:r>
        <w:rPr>
          <w:sz w:val="22"/>
          <w:b/>
          <w:szCs w:val="22"/>
          <w:rFonts w:ascii="Calibri" w:cs="Calibri" w:hAnsi="Calibri"/>
        </w:rPr>
      </w:r>
    </w:p>
    <w:p>
      <w:pPr>
        <w:pStyle w:val="style0"/>
        <w:jc w:val="both"/>
      </w:pPr>
      <w:r>
        <w:rPr>
          <w:color w:val="009CFD"/>
          <w:sz w:val="28"/>
          <w:b/>
          <w:szCs w:val="28"/>
          <w:rFonts w:ascii="Arial" w:cs="Arial" w:hAnsi="Arial"/>
        </w:rPr>
        <w:t>Methodology and technical approach</w:t>
      </w:r>
    </w:p>
    <w:p>
      <w:pPr>
        <w:pStyle w:val="style0"/>
        <w:jc w:val="both"/>
      </w:pPr>
      <w:r>
        <w:rPr>
          <w:color w:val="FF0000"/>
          <w:sz w:val="22"/>
          <w:szCs w:val="22"/>
          <w:rFonts w:ascii="Calibri" w:cs="Calibri" w:hAnsi="Calibri"/>
          <w:lang w:val="en-GB"/>
        </w:rPr>
      </w:r>
    </w:p>
    <w:p>
      <w:pPr>
        <w:pStyle w:val="style0"/>
        <w:jc w:val="both"/>
        <w:ind w:hanging="0" w:left="720" w:right="0"/>
      </w:pPr>
      <w:r>
        <w:rPr>
          <w:sz w:val="22"/>
          <w:szCs w:val="22"/>
          <w:bCs/>
          <w:rFonts w:ascii="Calibri" w:cs="Calibri" w:hAnsi="Calibri"/>
        </w:rPr>
        <w:t>The consultant will work with NAPA and apply appropriate adult and inter-active training methodology in developing the training programme/module on result based PM&amp;E, taking into account key principles of the Human Right based Approaches and Gender Equality Analysis.</w:t>
      </w:r>
    </w:p>
    <w:p>
      <w:pPr>
        <w:pStyle w:val="style0"/>
        <w:jc w:val="both"/>
        <w:ind w:hanging="0" w:left="720" w:right="0"/>
      </w:pPr>
      <w:r>
        <w:rPr>
          <w:sz w:val="22"/>
          <w:szCs w:val="22"/>
          <w:bCs/>
          <w:rFonts w:ascii="Calibri" w:cs="Calibri" w:hAnsi="Calibri"/>
        </w:rPr>
      </w:r>
    </w:p>
    <w:p>
      <w:pPr>
        <w:pStyle w:val="style0"/>
        <w:jc w:val="both"/>
      </w:pPr>
      <w:r>
        <w:rPr>
          <w:color w:val="009CFD"/>
          <w:sz w:val="28"/>
          <w:b/>
          <w:szCs w:val="28"/>
          <w:rFonts w:ascii="Arial" w:cs="Arial" w:hAnsi="Arial"/>
        </w:rPr>
        <w:t xml:space="preserve">Activities, Task, deliverables &amp; timeframe </w:t>
      </w:r>
    </w:p>
    <w:p>
      <w:pPr>
        <w:pStyle w:val="style0"/>
      </w:pPr>
      <w:r>
        <w:rPr>
          <w:sz w:val="22"/>
          <w:szCs w:val="22"/>
          <w:rFonts w:ascii="Calibri" w:cs="Calibri" w:hAnsi="Calibri"/>
        </w:rPr>
      </w:r>
    </w:p>
    <w:tbl>
      <w:tblPr>
        <w:tblBorders>
          <w:top w:color="00000A" w:space="0" w:sz="4" w:val="single"/>
          <w:left w:color="00000A" w:space="0" w:sz="4" w:val="single"/>
          <w:bottom w:color="00000A" w:space="0" w:sz="4" w:val="single"/>
          <w:right w:color="00000A" w:space="0" w:sz="4" w:val="single"/>
        </w:tblBorders>
        <w:jc w:val="left"/>
        <w:tblInd w:type="dxa" w:w="540"/>
      </w:tblPr>
      <w:tblGrid>
        <w:gridCol w:w="627"/>
        <w:gridCol w:w="4610"/>
        <w:gridCol w:w="8037"/>
        <w:gridCol w:w="9899"/>
      </w:tblGrid>
      <w:tr>
        <w:trPr>
          <w:tblHeader w:val="true"/>
          <w:trHeight w:hRule="atLeast" w:val="630"/>
          <w:cantSplit w:val="off"/>
        </w:trPr>
        <w:tc>
          <w:tcPr>
            <w:tcBorders>
              <w:top w:color="00000A" w:space="0" w:sz="4" w:val="single"/>
              <w:left w:color="00000A" w:space="0" w:sz="4" w:val="single"/>
              <w:bottom w:color="00000A" w:space="0" w:sz="4" w:val="single"/>
              <w:right w:color="00000A" w:space="0" w:sz="4" w:val="single"/>
            </w:tcBorders>
            <w:shd w:fill="FFFFFF"/>
            <w:tcW w:type="dxa" w:w="627"/>
            <w:tcMar>
              <w:top w:type="dxa" w:w="0"/>
              <w:left w:type="dxa" w:w="108"/>
              <w:bottom w:type="dxa" w:w="0"/>
              <w:right w:type="dxa" w:w="108"/>
            </w:tcMar>
          </w:tcPr>
          <w:p>
            <w:pPr>
              <w:pStyle w:val="style0"/>
            </w:pPr>
            <w:r>
              <w:rPr>
                <w:color w:val="FF0000"/>
                <w:sz w:val="20"/>
                <w:szCs w:val="20"/>
                <w:rFonts w:ascii="Calibri" w:cs="Calibri" w:eastAsia="Times New Roman" w:hAnsi="Calibri"/>
                <w:lang w:eastAsia="en-US"/>
              </w:rPr>
              <w:t> </w:t>
            </w:r>
          </w:p>
        </w:tc>
        <w:tc>
          <w:tcPr>
            <w:tcBorders>
              <w:top w:color="00000A" w:space="0" w:sz="4" w:val="single"/>
              <w:bottom w:color="00000A" w:space="0" w:sz="4" w:val="single"/>
              <w:right w:color="00000A" w:space="0" w:sz="4" w:val="single"/>
            </w:tcBorders>
            <w:shd w:fill="FFFFFF"/>
            <w:tcW w:type="dxa" w:w="4610"/>
            <w:tcMar>
              <w:top w:type="dxa" w:w="0"/>
              <w:left w:type="dxa" w:w="108"/>
              <w:bottom w:type="dxa" w:w="0"/>
              <w:right w:type="dxa" w:w="108"/>
            </w:tcMar>
          </w:tcPr>
          <w:p>
            <w:pPr>
              <w:pStyle w:val="style0"/>
            </w:pPr>
            <w:r>
              <w:rPr>
                <w:sz w:val="20"/>
                <w:b/>
                <w:szCs w:val="20"/>
                <w:bCs/>
                <w:rFonts w:ascii="Calibri" w:cs="Calibri" w:eastAsia="Times New Roman" w:hAnsi="Calibri"/>
                <w:lang w:eastAsia="en-US"/>
              </w:rPr>
              <w:t>Activities and Tasks</w:t>
            </w:r>
          </w:p>
        </w:tc>
        <w:tc>
          <w:tcPr>
            <w:tcBorders>
              <w:top w:color="00000A" w:space="0" w:sz="4" w:val="single"/>
              <w:bottom w:color="00000A" w:space="0" w:sz="4" w:val="single"/>
              <w:right w:color="00000A" w:space="0" w:sz="4" w:val="single"/>
            </w:tcBorders>
            <w:shd w:fill="FFFFFF"/>
            <w:tcW w:type="dxa" w:w="8037"/>
            <w:tcMar>
              <w:top w:type="dxa" w:w="0"/>
              <w:left w:type="dxa" w:w="108"/>
              <w:bottom w:type="dxa" w:w="0"/>
              <w:right w:type="dxa" w:w="108"/>
            </w:tcMar>
          </w:tcPr>
          <w:p>
            <w:pPr>
              <w:pStyle w:val="style0"/>
            </w:pPr>
            <w:r>
              <w:rPr>
                <w:sz w:val="20"/>
                <w:b/>
                <w:szCs w:val="20"/>
                <w:bCs/>
                <w:rFonts w:ascii="Calibri" w:cs="Calibri" w:eastAsia="Times New Roman" w:hAnsi="Calibri"/>
                <w:lang w:eastAsia="en-US"/>
              </w:rPr>
              <w:t>Expected outputs and deliverables</w:t>
            </w:r>
          </w:p>
        </w:tc>
        <w:tc>
          <w:tcPr>
            <w:tcBorders>
              <w:top w:color="00000A" w:space="0" w:sz="4" w:val="single"/>
              <w:bottom w:color="00000A" w:space="0" w:sz="4" w:val="single"/>
              <w:right w:color="00000A" w:space="0" w:sz="4" w:val="single"/>
            </w:tcBorders>
            <w:shd w:fill="auto"/>
            <w:tcW w:type="dxa" w:w="9899"/>
            <w:tcMar>
              <w:top w:type="dxa" w:w="0"/>
              <w:left w:type="dxa" w:w="108"/>
              <w:bottom w:type="dxa" w:w="0"/>
              <w:right w:type="dxa" w:w="108"/>
            </w:tcMar>
          </w:tcPr>
          <w:p>
            <w:pPr>
              <w:pStyle w:val="style0"/>
            </w:pPr>
            <w:r>
              <w:rPr>
                <w:sz w:val="20"/>
                <w:b/>
                <w:szCs w:val="20"/>
                <w:bCs/>
                <w:rFonts w:ascii="Calibri" w:cs="Calibri" w:eastAsia="Times New Roman" w:hAnsi="Calibri"/>
                <w:lang w:eastAsia="en-US"/>
              </w:rPr>
              <w:t xml:space="preserve">Timeframe </w:t>
            </w:r>
            <w:r>
              <w:rPr>
                <w:sz w:val="20"/>
                <w:i/>
                <w:b/>
                <w:szCs w:val="20"/>
                <w:bCs/>
                <w:rFonts w:ascii="Calibri" w:cs="Calibri" w:eastAsia="Times New Roman" w:hAnsi="Calibri"/>
                <w:lang w:eastAsia="en-US"/>
              </w:rPr>
              <w:t>(indicative)</w:t>
            </w:r>
          </w:p>
        </w:tc>
      </w:tr>
      <w:tr>
        <w:trPr>
          <w:trHeight w:hRule="atLeast" w:val="908"/>
          <w:cantSplit w:val="off"/>
        </w:trPr>
        <w:tc>
          <w:tcPr>
            <w:tcBorders>
              <w:left w:color="00000A" w:space="0" w:sz="4" w:val="single"/>
              <w:bottom w:color="00000A" w:space="0" w:sz="4" w:val="single"/>
              <w:right w:color="00000A" w:space="0" w:sz="4" w:val="single"/>
            </w:tcBorders>
            <w:shd w:fill="FFFFFF"/>
            <w:tcW w:type="dxa" w:w="627"/>
            <w:tcMar>
              <w:top w:type="dxa" w:w="0"/>
              <w:left w:type="dxa" w:w="108"/>
              <w:bottom w:type="dxa" w:w="0"/>
              <w:right w:type="dxa" w:w="108"/>
            </w:tcMar>
          </w:tcPr>
          <w:p>
            <w:pPr>
              <w:pStyle w:val="style0"/>
            </w:pPr>
            <w:r>
              <w:rPr>
                <w:sz w:val="20"/>
                <w:szCs w:val="20"/>
                <w:rFonts w:ascii="Calibri" w:cs="Calibri" w:eastAsia="Times New Roman" w:hAnsi="Calibri"/>
                <w:lang w:eastAsia="en-US"/>
              </w:rPr>
              <w:t>1</w:t>
            </w:r>
          </w:p>
        </w:tc>
        <w:tc>
          <w:tcPr>
            <w:tcBorders>
              <w:bottom w:color="00000A" w:space="0" w:sz="4" w:val="single"/>
              <w:right w:color="00000A" w:space="0" w:sz="4" w:val="single"/>
            </w:tcBorders>
            <w:shd w:fill="FFFFFF"/>
            <w:tcW w:type="dxa" w:w="4610"/>
            <w:tcMar>
              <w:top w:type="dxa" w:w="0"/>
              <w:left w:type="dxa" w:w="108"/>
              <w:bottom w:type="dxa" w:w="0"/>
              <w:right w:type="dxa" w:w="108"/>
            </w:tcMar>
          </w:tcPr>
          <w:p>
            <w:pPr>
              <w:pStyle w:val="style0"/>
            </w:pPr>
            <w:r>
              <w:rPr>
                <w:sz w:val="22"/>
                <w:szCs w:val="22"/>
                <w:bCs/>
                <w:rFonts w:ascii="Calibri" w:cs="Calibri" w:hAnsi="Calibri"/>
              </w:rPr>
              <w:t>Development of training courses, including:</w:t>
            </w:r>
          </w:p>
          <w:p>
            <w:pPr>
              <w:pStyle w:val="style47"/>
              <w:numPr>
                <w:ilvl w:val="0"/>
                <w:numId w:val="2"/>
              </w:numPr>
              <w:spacing w:line="100" w:lineRule="atLeast"/>
            </w:pPr>
            <w:r>
              <w:rPr>
                <w:sz w:val="22"/>
                <w:szCs w:val="22"/>
                <w:bCs/>
                <w:rFonts w:ascii="Calibri" w:cs="Calibri" w:eastAsia="MS Mincho" w:hAnsi="Calibri"/>
                <w:lang w:eastAsia="ja-JP" w:val="en-US"/>
              </w:rPr>
              <w:t>Conduct rapid Training Need Assessments (TNA) (2 days)</w:t>
            </w:r>
          </w:p>
          <w:p>
            <w:pPr>
              <w:pStyle w:val="style47"/>
              <w:numPr>
                <w:ilvl w:val="0"/>
                <w:numId w:val="2"/>
              </w:numPr>
              <w:spacing w:line="100" w:lineRule="atLeast"/>
            </w:pPr>
            <w:r>
              <w:rPr>
                <w:sz w:val="22"/>
                <w:szCs w:val="22"/>
                <w:bCs/>
                <w:rFonts w:ascii="Calibri" w:cs="Calibri" w:eastAsia="MS Mincho" w:hAnsi="Calibri"/>
                <w:lang w:eastAsia="ja-JP" w:val="en-US"/>
              </w:rPr>
              <w:t>Conduct consultation to develop the training outline (1 day)</w:t>
            </w:r>
          </w:p>
          <w:p>
            <w:pPr>
              <w:pStyle w:val="style47"/>
              <w:numPr>
                <w:ilvl w:val="0"/>
                <w:numId w:val="2"/>
              </w:numPr>
              <w:spacing w:line="100" w:lineRule="atLeast"/>
            </w:pPr>
            <w:r>
              <w:rPr>
                <w:sz w:val="22"/>
                <w:szCs w:val="22"/>
                <w:bCs/>
                <w:rFonts w:ascii="Calibri" w:cs="Calibri" w:eastAsia="MS Mincho" w:hAnsi="Calibri"/>
                <w:lang w:eastAsia="ja-JP" w:val="en-US"/>
              </w:rPr>
              <w:t>Design the training session/programme (5 days)</w:t>
            </w:r>
          </w:p>
          <w:p>
            <w:pPr>
              <w:pStyle w:val="style47"/>
              <w:numPr>
                <w:ilvl w:val="0"/>
                <w:numId w:val="2"/>
              </w:numPr>
              <w:spacing w:line="100" w:lineRule="atLeast"/>
            </w:pPr>
            <w:r>
              <w:rPr>
                <w:sz w:val="22"/>
                <w:szCs w:val="22"/>
                <w:bCs/>
                <w:rFonts w:ascii="Calibri" w:cs="Calibri" w:eastAsia="MS Mincho" w:hAnsi="Calibri"/>
                <w:lang w:eastAsia="ja-JP" w:val="en-US"/>
              </w:rPr>
              <w:t>Develop training materials (5 days)</w:t>
            </w:r>
          </w:p>
          <w:p>
            <w:pPr>
              <w:pStyle w:val="style47"/>
              <w:numPr>
                <w:ilvl w:val="0"/>
                <w:numId w:val="2"/>
              </w:numPr>
              <w:spacing w:line="100" w:lineRule="atLeast"/>
            </w:pPr>
            <w:r>
              <w:rPr>
                <w:sz w:val="22"/>
                <w:szCs w:val="22"/>
                <w:bCs/>
                <w:rFonts w:ascii="Calibri" w:cs="Calibri" w:eastAsia="MS Mincho" w:hAnsi="Calibri"/>
                <w:lang w:eastAsia="ja-JP" w:val="en-US"/>
              </w:rPr>
              <w:t>Conduct consultations to comment and revise the training programme and training materials (2 days)</w:t>
            </w:r>
          </w:p>
        </w:tc>
        <w:tc>
          <w:tcPr>
            <w:tcBorders>
              <w:bottom w:color="00000A" w:space="0" w:sz="4" w:val="single"/>
              <w:right w:color="00000A" w:space="0" w:sz="4" w:val="single"/>
            </w:tcBorders>
            <w:shd w:fill="FFFFFF"/>
            <w:tcW w:type="dxa" w:w="8037"/>
            <w:tcMar>
              <w:top w:type="dxa" w:w="0"/>
              <w:left w:type="dxa" w:w="108"/>
              <w:bottom w:type="dxa" w:w="0"/>
              <w:right w:type="dxa" w:w="108"/>
            </w:tcMar>
          </w:tcPr>
          <w:p>
            <w:pPr>
              <w:pStyle w:val="style47"/>
              <w:numPr>
                <w:ilvl w:val="0"/>
                <w:numId w:val="2"/>
              </w:numPr>
              <w:spacing w:line="100" w:lineRule="atLeast"/>
            </w:pPr>
            <w:r>
              <w:rPr>
                <w:sz w:val="22"/>
                <w:szCs w:val="22"/>
                <w:bCs/>
                <w:rFonts w:ascii="Calibri" w:cs="Calibri" w:eastAsia="MS Mincho" w:hAnsi="Calibri"/>
                <w:lang w:eastAsia="ja-JP" w:val="en-US"/>
              </w:rPr>
              <w:t>TNA results document</w:t>
            </w:r>
          </w:p>
          <w:p>
            <w:pPr>
              <w:pStyle w:val="style47"/>
              <w:numPr>
                <w:ilvl w:val="0"/>
                <w:numId w:val="2"/>
              </w:numPr>
              <w:spacing w:line="100" w:lineRule="atLeast"/>
            </w:pPr>
            <w:r>
              <w:rPr>
                <w:sz w:val="22"/>
                <w:szCs w:val="22"/>
                <w:bCs/>
                <w:rFonts w:ascii="Calibri" w:cs="Calibri" w:eastAsia="MS Mincho" w:hAnsi="Calibri"/>
                <w:lang w:eastAsia="ja-JP" w:val="en-US"/>
              </w:rPr>
              <w:t>Design of the training session on result-based PME and citizen feedback in public service delivery</w:t>
            </w:r>
          </w:p>
          <w:p>
            <w:pPr>
              <w:pStyle w:val="style47"/>
              <w:numPr>
                <w:ilvl w:val="0"/>
                <w:numId w:val="2"/>
              </w:numPr>
              <w:spacing w:line="100" w:lineRule="atLeast"/>
            </w:pPr>
            <w:r>
              <w:rPr>
                <w:sz w:val="22"/>
                <w:szCs w:val="22"/>
                <w:bCs/>
                <w:rFonts w:ascii="Calibri" w:cs="Calibri" w:eastAsia="MS Mincho" w:hAnsi="Calibri"/>
                <w:lang w:eastAsia="ja-JP" w:val="en-US"/>
              </w:rPr>
              <w:t>Training materials</w:t>
            </w:r>
          </w:p>
          <w:p>
            <w:pPr>
              <w:pStyle w:val="style0"/>
            </w:pPr>
            <w:r>
              <w:rPr>
                <w:sz w:val="22"/>
                <w:szCs w:val="22"/>
                <w:bCs/>
                <w:rFonts w:ascii="Calibri" w:cs="Calibri" w:hAnsi="Calibri"/>
              </w:rPr>
            </w:r>
          </w:p>
          <w:p>
            <w:pPr>
              <w:pStyle w:val="style0"/>
            </w:pPr>
            <w:r>
              <w:rPr>
                <w:sz w:val="22"/>
                <w:szCs w:val="22"/>
                <w:bCs/>
                <w:rFonts w:ascii="Calibri" w:cs="Calibri" w:hAnsi="Calibri"/>
              </w:rPr>
            </w:r>
          </w:p>
        </w:tc>
        <w:tc>
          <w:tcPr>
            <w:tcBorders>
              <w:bottom w:color="00000A" w:space="0" w:sz="4" w:val="single"/>
              <w:right w:color="00000A" w:space="0" w:sz="4" w:val="single"/>
            </w:tcBorders>
            <w:shd w:fill="auto"/>
            <w:tcW w:type="dxa" w:w="9899"/>
            <w:tcMar>
              <w:top w:type="dxa" w:w="0"/>
              <w:left w:type="dxa" w:w="108"/>
              <w:bottom w:type="dxa" w:w="0"/>
              <w:right w:type="dxa" w:w="108"/>
            </w:tcMar>
          </w:tcPr>
          <w:p>
            <w:pPr>
              <w:pStyle w:val="style0"/>
            </w:pPr>
            <w:r>
              <w:rPr>
                <w:sz w:val="20"/>
                <w:szCs w:val="20"/>
                <w:rFonts w:ascii="Calibri" w:cs="Calibri" w:eastAsia="Times New Roman" w:hAnsi="Calibri"/>
                <w:lang w:eastAsia="en-US"/>
              </w:rPr>
              <w:t>15 days</w:t>
            </w:r>
          </w:p>
          <w:p>
            <w:pPr>
              <w:pStyle w:val="style0"/>
            </w:pPr>
            <w:r>
              <w:rPr>
                <w:sz w:val="20"/>
                <w:szCs w:val="20"/>
                <w:rFonts w:ascii="Calibri" w:cs="Calibri" w:eastAsia="Times New Roman" w:hAnsi="Calibri"/>
                <w:lang w:eastAsia="en-US"/>
              </w:rPr>
            </w:r>
          </w:p>
          <w:p>
            <w:pPr>
              <w:pStyle w:val="style0"/>
            </w:pPr>
            <w:r>
              <w:rPr>
                <w:sz w:val="22"/>
                <w:szCs w:val="22"/>
                <w:bCs/>
                <w:rFonts w:ascii="Calibri" w:cs="Calibri" w:hAnsi="Calibri"/>
              </w:rPr>
              <w:t>(</w:t>
            </w:r>
            <w:r>
              <w:rPr>
                <w:sz w:val="22"/>
                <w:i/>
                <w:szCs w:val="22"/>
                <w:bCs/>
                <w:rFonts w:ascii="Calibri" w:cs="Calibri" w:hAnsi="Calibri"/>
              </w:rPr>
              <w:t>10 days of home base work for designing and developing course outline and materials</w:t>
            </w:r>
            <w:r>
              <w:rPr>
                <w:sz w:val="22"/>
                <w:szCs w:val="22"/>
                <w:bCs/>
                <w:rFonts w:ascii="Calibri" w:cs="Calibri" w:hAnsi="Calibri"/>
              </w:rPr>
              <w:t>)</w:t>
            </w:r>
          </w:p>
        </w:tc>
      </w:tr>
      <w:tr>
        <w:trPr>
          <w:trHeight w:hRule="atLeast" w:val="719"/>
          <w:cantSplit w:val="off"/>
        </w:trPr>
        <w:tc>
          <w:tcPr>
            <w:tcBorders>
              <w:left w:color="00000A" w:space="0" w:sz="4" w:val="single"/>
              <w:bottom w:color="00000A" w:space="0" w:sz="4" w:val="single"/>
              <w:right w:color="00000A" w:space="0" w:sz="4" w:val="single"/>
            </w:tcBorders>
            <w:shd w:fill="FFFFFF"/>
            <w:tcW w:type="dxa" w:w="627"/>
            <w:tcMar>
              <w:top w:type="dxa" w:w="0"/>
              <w:left w:type="dxa" w:w="108"/>
              <w:bottom w:type="dxa" w:w="0"/>
              <w:right w:type="dxa" w:w="108"/>
            </w:tcMar>
          </w:tcPr>
          <w:p>
            <w:pPr>
              <w:pStyle w:val="style0"/>
            </w:pPr>
            <w:r>
              <w:rPr>
                <w:sz w:val="20"/>
                <w:szCs w:val="20"/>
                <w:rFonts w:ascii="Calibri" w:cs="Calibri" w:eastAsia="Times New Roman" w:hAnsi="Calibri"/>
                <w:lang w:eastAsia="en-US"/>
              </w:rPr>
              <w:t>2</w:t>
            </w:r>
          </w:p>
        </w:tc>
        <w:tc>
          <w:tcPr>
            <w:tcBorders>
              <w:bottom w:color="00000A" w:space="0" w:sz="4" w:val="single"/>
              <w:right w:color="00000A" w:space="0" w:sz="4" w:val="single"/>
            </w:tcBorders>
            <w:shd w:fill="FFFFFF"/>
            <w:tcW w:type="dxa" w:w="4610"/>
            <w:tcMar>
              <w:top w:type="dxa" w:w="0"/>
              <w:left w:type="dxa" w:w="108"/>
              <w:bottom w:type="dxa" w:w="0"/>
              <w:right w:type="dxa" w:w="108"/>
            </w:tcMar>
          </w:tcPr>
          <w:p>
            <w:pPr>
              <w:pStyle w:val="style0"/>
            </w:pPr>
            <w:r>
              <w:rPr>
                <w:sz w:val="22"/>
                <w:szCs w:val="22"/>
                <w:bCs/>
                <w:rFonts w:ascii="Calibri" w:cs="Calibri" w:hAnsi="Calibri"/>
              </w:rPr>
              <w:t>Pre-test the training sessions for three target groups (in three regions: the North, the South and the Central Highland) and adapt training outline and material accordingly</w:t>
            </w:r>
          </w:p>
        </w:tc>
        <w:tc>
          <w:tcPr>
            <w:tcBorders>
              <w:bottom w:color="00000A" w:space="0" w:sz="4" w:val="single"/>
              <w:right w:color="00000A" w:space="0" w:sz="4" w:val="single"/>
            </w:tcBorders>
            <w:shd w:fill="FFFFFF"/>
            <w:tcW w:type="dxa" w:w="8037"/>
            <w:tcMar>
              <w:top w:type="dxa" w:w="0"/>
              <w:left w:type="dxa" w:w="108"/>
              <w:bottom w:type="dxa" w:w="0"/>
              <w:right w:type="dxa" w:w="108"/>
            </w:tcMar>
          </w:tcPr>
          <w:p>
            <w:pPr>
              <w:pStyle w:val="style47"/>
              <w:numPr>
                <w:ilvl w:val="0"/>
                <w:numId w:val="2"/>
              </w:numPr>
              <w:spacing w:line="100" w:lineRule="atLeast"/>
            </w:pPr>
            <w:r>
              <w:rPr>
                <w:sz w:val="22"/>
                <w:szCs w:val="22"/>
                <w:bCs/>
                <w:rFonts w:ascii="Calibri" w:cs="Calibri" w:eastAsia="MS Mincho" w:hAnsi="Calibri"/>
                <w:lang w:eastAsia="ja-JP" w:val="en-US"/>
              </w:rPr>
              <w:t>Tested and adapted training module and materials to suit local contexts of different regions</w:t>
            </w:r>
          </w:p>
        </w:tc>
        <w:tc>
          <w:tcPr>
            <w:tcBorders>
              <w:bottom w:color="00000A" w:space="0" w:sz="4" w:val="single"/>
              <w:right w:color="00000A" w:space="0" w:sz="4" w:val="single"/>
            </w:tcBorders>
            <w:shd w:fill="auto"/>
            <w:tcW w:type="dxa" w:w="9899"/>
            <w:tcMar>
              <w:top w:type="dxa" w:w="0"/>
              <w:left w:type="dxa" w:w="108"/>
              <w:bottom w:type="dxa" w:w="0"/>
              <w:right w:type="dxa" w:w="108"/>
            </w:tcMar>
          </w:tcPr>
          <w:p>
            <w:pPr>
              <w:pStyle w:val="style0"/>
            </w:pPr>
            <w:r>
              <w:rPr>
                <w:sz w:val="20"/>
                <w:szCs w:val="20"/>
                <w:rFonts w:ascii="Calibri" w:cs="Calibri" w:hAnsi="Calibri"/>
              </w:rPr>
              <w:t>6 days (3 days of pretesting and 3 days of adaptations)</w:t>
            </w:r>
          </w:p>
        </w:tc>
      </w:tr>
      <w:tr>
        <w:trPr>
          <w:trHeight w:hRule="atLeast" w:val="323"/>
          <w:cantSplit w:val="off"/>
        </w:trPr>
        <w:tc>
          <w:tcPr>
            <w:tcBorders>
              <w:left w:color="00000A" w:space="0" w:sz="4" w:val="single"/>
              <w:bottom w:color="00000A" w:space="0" w:sz="4" w:val="single"/>
              <w:right w:color="00000A" w:space="0" w:sz="4" w:val="single"/>
            </w:tcBorders>
            <w:shd w:fill="FFFFFF"/>
            <w:tcW w:type="dxa" w:w="627"/>
            <w:tcMar>
              <w:top w:type="dxa" w:w="0"/>
              <w:left w:type="dxa" w:w="108"/>
              <w:bottom w:type="dxa" w:w="0"/>
              <w:right w:type="dxa" w:w="108"/>
            </w:tcMar>
          </w:tcPr>
          <w:p>
            <w:pPr>
              <w:pStyle w:val="style0"/>
            </w:pPr>
            <w:r>
              <w:rPr>
                <w:sz w:val="20"/>
                <w:szCs w:val="20"/>
                <w:rFonts w:ascii="Calibri" w:cs="Calibri" w:eastAsia="Times New Roman" w:hAnsi="Calibri"/>
                <w:lang w:eastAsia="en-US"/>
              </w:rPr>
              <w:t>3</w:t>
            </w:r>
          </w:p>
        </w:tc>
        <w:tc>
          <w:tcPr>
            <w:tcBorders>
              <w:bottom w:color="00000A" w:space="0" w:sz="4" w:val="single"/>
              <w:right w:color="00000A" w:space="0" w:sz="4" w:val="single"/>
            </w:tcBorders>
            <w:shd w:fill="FFFFFF"/>
            <w:tcW w:type="dxa" w:w="4610"/>
            <w:tcMar>
              <w:top w:type="dxa" w:w="0"/>
              <w:left w:type="dxa" w:w="108"/>
              <w:bottom w:type="dxa" w:w="0"/>
              <w:right w:type="dxa" w:w="108"/>
            </w:tcMar>
          </w:tcPr>
          <w:p>
            <w:pPr>
              <w:pStyle w:val="style0"/>
            </w:pPr>
            <w:r>
              <w:rPr>
                <w:sz w:val="22"/>
                <w:szCs w:val="22"/>
                <w:bCs/>
                <w:rFonts w:ascii="Calibri" w:cs="Calibri" w:hAnsi="Calibri"/>
              </w:rPr>
              <w:t>Conduct Training-of-Trainers (TOT) courses for core lecturers and trainers in the Ha Noi and HCMC</w:t>
            </w:r>
          </w:p>
        </w:tc>
        <w:tc>
          <w:tcPr>
            <w:tcBorders>
              <w:bottom w:color="00000A" w:space="0" w:sz="4" w:val="single"/>
              <w:right w:color="00000A" w:space="0" w:sz="4" w:val="single"/>
            </w:tcBorders>
            <w:shd w:fill="FFFFFF"/>
            <w:tcW w:type="dxa" w:w="8037"/>
            <w:tcMar>
              <w:top w:type="dxa" w:w="0"/>
              <w:left w:type="dxa" w:w="108"/>
              <w:bottom w:type="dxa" w:w="0"/>
              <w:right w:type="dxa" w:w="108"/>
            </w:tcMar>
          </w:tcPr>
          <w:p>
            <w:pPr>
              <w:pStyle w:val="style47"/>
              <w:numPr>
                <w:ilvl w:val="0"/>
                <w:numId w:val="2"/>
              </w:numPr>
              <w:spacing w:line="100" w:lineRule="atLeast"/>
            </w:pPr>
            <w:r>
              <w:rPr>
                <w:sz w:val="22"/>
                <w:szCs w:val="22"/>
                <w:bCs/>
                <w:rFonts w:ascii="Calibri" w:cs="Calibri" w:eastAsia="MS Mincho" w:hAnsi="Calibri"/>
                <w:lang w:eastAsia="ja-JP" w:val="en-US"/>
              </w:rPr>
              <w:t>TOT courses conducted in Hanoi and HCMC</w:t>
            </w:r>
          </w:p>
          <w:p>
            <w:pPr>
              <w:pStyle w:val="style47"/>
              <w:numPr>
                <w:ilvl w:val="0"/>
                <w:numId w:val="2"/>
              </w:numPr>
              <w:spacing w:line="100" w:lineRule="atLeast"/>
            </w:pPr>
            <w:r>
              <w:rPr>
                <w:sz w:val="22"/>
                <w:szCs w:val="22"/>
                <w:bCs/>
                <w:rFonts w:ascii="Calibri" w:cs="Calibri" w:eastAsia="MS Mincho" w:hAnsi="Calibri"/>
                <w:lang w:eastAsia="ja-JP" w:val="en-US"/>
              </w:rPr>
              <w:t>Annotated training materials for trainers</w:t>
            </w:r>
          </w:p>
        </w:tc>
        <w:tc>
          <w:tcPr>
            <w:tcBorders>
              <w:bottom w:color="00000A" w:space="0" w:sz="4" w:val="single"/>
              <w:right w:color="00000A" w:space="0" w:sz="4" w:val="single"/>
            </w:tcBorders>
            <w:shd w:fill="auto"/>
            <w:tcW w:type="dxa" w:w="9899"/>
            <w:tcMar>
              <w:top w:type="dxa" w:w="0"/>
              <w:left w:type="dxa" w:w="108"/>
              <w:bottom w:type="dxa" w:w="0"/>
              <w:right w:type="dxa" w:w="108"/>
            </w:tcMar>
          </w:tcPr>
          <w:p>
            <w:pPr>
              <w:pStyle w:val="style0"/>
            </w:pPr>
            <w:r>
              <w:rPr>
                <w:sz w:val="20"/>
                <w:szCs w:val="20"/>
                <w:rFonts w:ascii="Calibri" w:cs="Calibri" w:hAnsi="Calibri"/>
              </w:rPr>
              <w:t>6 days</w:t>
            </w:r>
          </w:p>
        </w:tc>
      </w:tr>
      <w:tr>
        <w:trPr>
          <w:trHeight w:hRule="atLeast" w:val="323"/>
          <w:cantSplit w:val="off"/>
        </w:trPr>
        <w:tc>
          <w:tcPr>
            <w:tcBorders>
              <w:top w:color="00000A" w:space="0" w:sz="4" w:val="single"/>
              <w:left w:color="00000A" w:space="0" w:sz="4" w:val="single"/>
              <w:bottom w:color="00000A" w:space="0" w:sz="4" w:val="single"/>
              <w:right w:color="00000A" w:space="0" w:sz="4" w:val="single"/>
            </w:tcBorders>
            <w:gridSpan w:val="2"/>
            <w:shd w:fill="FFFFFF"/>
            <w:tcW w:type="dxa" w:w="4610"/>
            <w:tcMar>
              <w:top w:type="dxa" w:w="0"/>
              <w:left w:type="dxa" w:w="108"/>
              <w:bottom w:type="dxa" w:w="0"/>
              <w:right w:type="dxa" w:w="108"/>
            </w:tcMar>
          </w:tcPr>
          <w:p>
            <w:pPr>
              <w:pStyle w:val="style0"/>
            </w:pPr>
            <w:r>
              <w:rPr>
                <w:sz w:val="20"/>
                <w:b/>
                <w:szCs w:val="20"/>
                <w:rFonts w:ascii="Calibri" w:cs="Calibri" w:eastAsia="Times New Roman" w:hAnsi="Calibri"/>
                <w:lang w:eastAsia="en-US"/>
              </w:rPr>
              <w:t>Total</w:t>
            </w:r>
          </w:p>
        </w:tc>
        <w:tc>
          <w:tcPr>
            <w:tcBorders>
              <w:top w:color="00000A" w:space="0" w:sz="4" w:val="single"/>
              <w:bottom w:color="00000A" w:space="0" w:sz="4" w:val="single"/>
              <w:right w:color="00000A" w:space="0" w:sz="4" w:val="single"/>
            </w:tcBorders>
            <w:gridSpan w:val="2"/>
            <w:shd w:fill="FFFFFF"/>
            <w:tcW w:type="dxa" w:w="4949"/>
            <w:tcMar>
              <w:top w:type="dxa" w:w="0"/>
              <w:left w:type="dxa" w:w="108"/>
              <w:bottom w:type="dxa" w:w="0"/>
              <w:right w:type="dxa" w:w="108"/>
            </w:tcMar>
          </w:tcPr>
          <w:p>
            <w:pPr>
              <w:pStyle w:val="style0"/>
            </w:pPr>
            <w:r>
              <w:rPr>
                <w:sz w:val="20"/>
                <w:b/>
                <w:szCs w:val="20"/>
                <w:rFonts w:ascii="Calibri" w:cs="Calibri" w:hAnsi="Calibri"/>
              </w:rPr>
              <w:t>27 days</w:t>
            </w:r>
          </w:p>
        </w:tc>
      </w:tr>
    </w:tbl>
    <w:p>
      <w:pPr>
        <w:pStyle w:val="style0"/>
        <w:jc w:val="both"/>
        <w:ind w:hanging="0" w:left="720" w:right="0"/>
      </w:pPr>
      <w:r>
        <w:rPr>
          <w:sz w:val="22"/>
          <w:szCs w:val="22"/>
          <w:rFonts w:ascii="Calibri" w:cs="Calibri" w:hAnsi="Calibri"/>
        </w:rPr>
      </w:r>
    </w:p>
    <w:p>
      <w:pPr>
        <w:pStyle w:val="style0"/>
        <w:jc w:val="both"/>
      </w:pPr>
      <w:r>
        <w:rPr>
          <w:color w:val="009CFD"/>
          <w:sz w:val="28"/>
          <w:b/>
          <w:szCs w:val="28"/>
          <w:rFonts w:ascii="Arial" w:cs="Arial" w:hAnsi="Arial"/>
        </w:rPr>
      </w:r>
    </w:p>
    <w:p>
      <w:pPr>
        <w:pStyle w:val="style0"/>
        <w:jc w:val="both"/>
      </w:pPr>
      <w:r>
        <w:rPr>
          <w:color w:val="009CFD"/>
          <w:sz w:val="28"/>
          <w:b/>
          <w:szCs w:val="28"/>
          <w:rFonts w:ascii="Arial" w:cs="Arial" w:hAnsi="Arial"/>
        </w:rPr>
      </w:r>
    </w:p>
    <w:p>
      <w:pPr>
        <w:pStyle w:val="style0"/>
        <w:jc w:val="both"/>
      </w:pPr>
      <w:r>
        <w:rPr>
          <w:color w:val="009CFD"/>
          <w:sz w:val="28"/>
          <w:b/>
          <w:szCs w:val="28"/>
          <w:rFonts w:ascii="Arial" w:cs="Arial" w:hAnsi="Arial"/>
        </w:rPr>
        <w:t xml:space="preserve">Deliverables, timeframe and payment schedule </w:t>
      </w:r>
    </w:p>
    <w:p>
      <w:pPr>
        <w:pStyle w:val="style0"/>
        <w:jc w:val="both"/>
      </w:pPr>
      <w:r>
        <w:rPr>
          <w:sz w:val="22"/>
          <w:u w:val="single"/>
          <w:b/>
          <w:szCs w:val="22"/>
          <w:rFonts w:ascii="Calibri" w:cs="Calibri" w:hAnsi="Calibri"/>
        </w:rPr>
      </w:r>
    </w:p>
    <w:p>
      <w:pPr>
        <w:pStyle w:val="style45"/>
      </w:pPr>
      <w:r>
        <w:rPr>
          <w:sz w:val="22"/>
          <w:b/>
          <w:szCs w:val="22"/>
          <w:rFonts w:ascii="Calibri" w:cs="Calibri" w:hAnsi="Calibri"/>
        </w:rPr>
        <w:t>Deliverables and t</w:t>
      </w:r>
      <w:r>
        <w:rPr>
          <w:color w:val="000000"/>
          <w:sz w:val="22"/>
          <w:b/>
          <w:szCs w:val="22"/>
          <w:rFonts w:ascii="Calibri" w:cs="Calibri" w:hAnsi="Calibri"/>
        </w:rPr>
        <w:t xml:space="preserve">imeframe: </w:t>
      </w:r>
    </w:p>
    <w:p>
      <w:pPr>
        <w:pStyle w:val="style0"/>
        <w:jc w:val="both"/>
        <w:ind w:hanging="0" w:left="720" w:right="0"/>
      </w:pPr>
      <w:r>
        <w:rPr>
          <w:color w:val="000000"/>
          <w:sz w:val="22"/>
          <w:b/>
          <w:szCs w:val="22"/>
          <w:rFonts w:ascii="Calibri" w:cs="Calibri" w:hAnsi="Calibri"/>
          <w:lang w:eastAsia="en-US"/>
        </w:rPr>
      </w:r>
    </w:p>
    <w:tbl>
      <w:tblPr>
        <w:tblBorders>
          <w:top w:color="00000A" w:space="0" w:sz="4" w:val="single"/>
          <w:left w:color="00000A" w:space="0" w:sz="4" w:val="single"/>
          <w:bottom w:color="00000A" w:space="0" w:sz="4" w:val="single"/>
          <w:right w:color="00000A" w:space="0" w:sz="4" w:val="single"/>
        </w:tblBorders>
        <w:jc w:val="left"/>
        <w:tblInd w:type="dxa" w:w="540"/>
      </w:tblPr>
      <w:tblGrid>
        <w:gridCol w:w="5579"/>
        <w:gridCol w:w="6659"/>
        <w:gridCol w:w="7559"/>
        <w:gridCol w:w="8549"/>
      </w:tblGrid>
      <w:tr>
        <w:trPr>
          <w:cantSplit w:val="off"/>
        </w:trPr>
        <w:tc>
          <w:tcPr>
            <w:tcBorders>
              <w:top w:color="00000A" w:space="0" w:sz="4" w:val="single"/>
              <w:left w:color="00000A" w:space="0" w:sz="4" w:val="single"/>
              <w:bottom w:color="00000A" w:space="0" w:sz="4" w:val="single"/>
              <w:right w:color="00000A" w:space="0" w:sz="4" w:val="single"/>
            </w:tcBorders>
            <w:shd w:fill="FFFFFF"/>
            <w:tcW w:type="dxa" w:w="5579"/>
            <w:tcMar>
              <w:top w:type="dxa" w:w="0"/>
              <w:left w:type="dxa" w:w="108"/>
              <w:bottom w:type="dxa" w:w="0"/>
              <w:right w:type="dxa" w:w="108"/>
            </w:tcMar>
          </w:tcPr>
          <w:p>
            <w:pPr>
              <w:pStyle w:val="style0"/>
              <w:jc w:val="center"/>
              <w:spacing w:line="360" w:lineRule="atLeast"/>
            </w:pPr>
            <w:r>
              <w:rPr>
                <w:sz w:val="20"/>
                <w:b/>
                <w:szCs w:val="20"/>
                <w:rFonts w:ascii="Calibri" w:cs="Calibri" w:hAnsi="Calibri"/>
              </w:rPr>
              <w:t>Key tasks and Time / Month</w:t>
            </w:r>
          </w:p>
        </w:tc>
        <w:tc>
          <w:tcPr>
            <w:tcBorders>
              <w:top w:color="00000A" w:space="0" w:sz="4" w:val="single"/>
              <w:left w:color="00000A" w:space="0" w:sz="4" w:val="single"/>
              <w:bottom w:color="00000A" w:space="0" w:sz="4" w:val="single"/>
              <w:right w:color="00000A" w:space="0" w:sz="4" w:val="single"/>
            </w:tcBorders>
            <w:shd w:fill="FFFFFF"/>
            <w:tcW w:type="dxa" w:w="6659"/>
            <w:tcMar>
              <w:top w:type="dxa" w:w="0"/>
              <w:left w:type="dxa" w:w="108"/>
              <w:bottom w:type="dxa" w:w="0"/>
              <w:right w:type="dxa" w:w="108"/>
            </w:tcMar>
          </w:tcPr>
          <w:p>
            <w:pPr>
              <w:pStyle w:val="style0"/>
              <w:jc w:val="center"/>
              <w:spacing w:line="360" w:lineRule="atLeast"/>
            </w:pPr>
            <w:r>
              <w:rPr>
                <w:sz w:val="20"/>
                <w:b/>
                <w:szCs w:val="20"/>
                <w:rFonts w:ascii="Calibri" w:cs="Calibri" w:hAnsi="Calibri"/>
              </w:rPr>
              <w:t>M1</w:t>
            </w:r>
          </w:p>
        </w:tc>
        <w:tc>
          <w:tcPr>
            <w:tcBorders>
              <w:top w:color="00000A" w:space="0" w:sz="4" w:val="single"/>
              <w:left w:color="00000A" w:space="0" w:sz="4" w:val="single"/>
              <w:bottom w:color="00000A" w:space="0" w:sz="4" w:val="single"/>
              <w:right w:color="00000A" w:space="0" w:sz="4" w:val="single"/>
            </w:tcBorders>
            <w:shd w:fill="FFFFFF"/>
            <w:tcW w:type="dxa" w:w="7559"/>
            <w:tcMar>
              <w:top w:type="dxa" w:w="0"/>
              <w:left w:type="dxa" w:w="108"/>
              <w:bottom w:type="dxa" w:w="0"/>
              <w:right w:type="dxa" w:w="108"/>
            </w:tcMar>
          </w:tcPr>
          <w:p>
            <w:pPr>
              <w:pStyle w:val="style0"/>
              <w:jc w:val="center"/>
              <w:spacing w:line="360" w:lineRule="atLeast"/>
            </w:pPr>
            <w:r>
              <w:rPr>
                <w:sz w:val="20"/>
                <w:b/>
                <w:szCs w:val="20"/>
                <w:rFonts w:ascii="Calibri" w:cs="Calibri" w:hAnsi="Calibri"/>
              </w:rPr>
              <w:t>M2</w:t>
            </w:r>
          </w:p>
        </w:tc>
        <w:tc>
          <w:tcPr>
            <w:tcBorders>
              <w:top w:color="00000A" w:space="0" w:sz="4" w:val="single"/>
              <w:left w:color="00000A" w:space="0" w:sz="4" w:val="single"/>
              <w:bottom w:color="00000A" w:space="0" w:sz="4" w:val="single"/>
              <w:right w:color="00000A" w:space="0" w:sz="4" w:val="single"/>
            </w:tcBorders>
            <w:shd w:fill="FFFFFF"/>
            <w:tcW w:type="dxa" w:w="8549"/>
            <w:tcMar>
              <w:top w:type="dxa" w:w="0"/>
              <w:left w:type="dxa" w:w="108"/>
              <w:bottom w:type="dxa" w:w="0"/>
              <w:right w:type="dxa" w:w="108"/>
            </w:tcMar>
          </w:tcPr>
          <w:p>
            <w:pPr>
              <w:pStyle w:val="style0"/>
              <w:jc w:val="center"/>
              <w:spacing w:line="360" w:lineRule="atLeast"/>
            </w:pPr>
            <w:r>
              <w:rPr>
                <w:sz w:val="20"/>
                <w:b/>
                <w:szCs w:val="20"/>
                <w:rFonts w:ascii="Calibri" w:cs="Calibri" w:hAnsi="Calibri"/>
              </w:rPr>
              <w:t>M3</w:t>
            </w:r>
          </w:p>
        </w:tc>
      </w:tr>
      <w:tr>
        <w:trPr>
          <w:cantSplit w:val="off"/>
        </w:trPr>
        <w:tc>
          <w:tcPr>
            <w:tcBorders>
              <w:top w:color="00000A" w:space="0" w:sz="4" w:val="single"/>
              <w:left w:color="00000A" w:space="0" w:sz="4" w:val="single"/>
              <w:bottom w:color="00000A" w:space="0" w:sz="4" w:val="single"/>
              <w:right w:color="00000A" w:space="0" w:sz="4" w:val="single"/>
            </w:tcBorders>
            <w:shd w:fill="auto"/>
            <w:tcW w:type="dxa" w:w="5579"/>
            <w:tcMar>
              <w:top w:type="dxa" w:w="0"/>
              <w:left w:type="dxa" w:w="108"/>
              <w:bottom w:type="dxa" w:w="0"/>
              <w:right w:type="dxa" w:w="108"/>
            </w:tcMar>
          </w:tcPr>
          <w:p>
            <w:pPr>
              <w:pStyle w:val="style0"/>
              <w:jc w:val="both"/>
            </w:pPr>
            <w:r>
              <w:rPr>
                <w:sz w:val="20"/>
                <w:u w:val="single"/>
                <w:szCs w:val="20"/>
                <w:rFonts w:ascii="Calibri" w:cs="Calibri" w:hAnsi="Calibri"/>
              </w:rPr>
              <w:t>Task 1:</w:t>
            </w:r>
            <w:r>
              <w:rPr>
                <w:sz w:val="20"/>
                <w:szCs w:val="20"/>
                <w:rFonts w:ascii="Calibri" w:cs="Calibri" w:hAnsi="Calibri"/>
              </w:rPr>
              <w:t xml:space="preserve"> </w:t>
            </w:r>
            <w:r>
              <w:rPr>
                <w:sz w:val="22"/>
                <w:szCs w:val="22"/>
                <w:bCs/>
                <w:rFonts w:ascii="Calibri" w:cs="Calibri" w:hAnsi="Calibri"/>
              </w:rPr>
              <w:t>Development of training courses</w:t>
            </w:r>
          </w:p>
          <w:p>
            <w:pPr>
              <w:pStyle w:val="style0"/>
            </w:pPr>
            <w:r>
              <w:rPr>
                <w:sz w:val="20"/>
                <w:i/>
                <w:u w:val="single"/>
                <w:szCs w:val="20"/>
                <w:rFonts w:ascii="Calibri" w:cs="Calibri" w:hAnsi="Calibri"/>
              </w:rPr>
              <w:t>Output:</w:t>
            </w:r>
            <w:r>
              <w:rPr>
                <w:sz w:val="20"/>
                <w:i/>
                <w:szCs w:val="20"/>
                <w:rFonts w:ascii="Calibri" w:cs="Calibri" w:hAnsi="Calibri"/>
              </w:rPr>
              <w:t xml:space="preserve"> </w:t>
            </w:r>
            <w:r>
              <w:rPr>
                <w:sz w:val="22"/>
                <w:szCs w:val="22"/>
                <w:bCs/>
                <w:rFonts w:ascii="Calibri" w:cs="Calibri" w:hAnsi="Calibri"/>
              </w:rPr>
              <w:t>TNA results document, design of the training session on result-based PME and citizen feedback in public service delivery, and training materials</w:t>
            </w:r>
          </w:p>
        </w:tc>
        <w:tc>
          <w:tcPr>
            <w:tcBorders>
              <w:top w:color="00000A" w:space="0" w:sz="4" w:val="single"/>
              <w:left w:color="00000A" w:space="0" w:sz="4" w:val="single"/>
              <w:bottom w:color="00000A" w:space="0" w:sz="4" w:val="single"/>
              <w:right w:color="00000A" w:space="0" w:sz="4" w:val="single"/>
            </w:tcBorders>
            <w:shd w:fill="auto"/>
            <w:tcW w:type="dxa" w:w="6659"/>
            <w:tcMar>
              <w:top w:type="dxa" w:w="0"/>
              <w:left w:type="dxa" w:w="108"/>
              <w:bottom w:type="dxa" w:w="0"/>
              <w:right w:type="dxa" w:w="108"/>
            </w:tcMar>
          </w:tcPr>
          <w:p>
            <w:pPr>
              <w:pStyle w:val="style0"/>
              <w:jc w:val="both"/>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7559"/>
            <w:tcMar>
              <w:top w:type="dxa" w:w="0"/>
              <w:left w:type="dxa" w:w="108"/>
              <w:bottom w:type="dxa" w:w="0"/>
              <w:right w:type="dxa" w:w="108"/>
            </w:tcMar>
          </w:tcPr>
          <w:p>
            <w:pPr>
              <w:pStyle w:val="style0"/>
              <w:jc w:val="both"/>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8549"/>
            <w:tcMar>
              <w:top w:type="dxa" w:w="0"/>
              <w:left w:type="dxa" w:w="108"/>
              <w:bottom w:type="dxa" w:w="0"/>
              <w:right w:type="dxa" w:w="108"/>
            </w:tcMar>
          </w:tcPr>
          <w:p>
            <w:pPr>
              <w:pStyle w:val="style0"/>
              <w:jc w:val="both"/>
            </w:pPr>
            <w:r>
              <w:rPr>
                <w:sz w:val="20"/>
                <w:szCs w:val="20"/>
                <w:rFonts w:ascii="Calibri" w:cs="Calibri" w:hAnsi="Calibri"/>
              </w:rPr>
            </w:r>
          </w:p>
        </w:tc>
      </w:tr>
      <w:tr>
        <w:trPr>
          <w:cantSplit w:val="off"/>
        </w:trPr>
        <w:tc>
          <w:tcPr>
            <w:tcBorders>
              <w:top w:color="00000A" w:space="0" w:sz="4" w:val="single"/>
              <w:left w:color="00000A" w:space="0" w:sz="4" w:val="single"/>
              <w:bottom w:color="00000A" w:space="0" w:sz="4" w:val="single"/>
              <w:right w:color="00000A" w:space="0" w:sz="4" w:val="single"/>
            </w:tcBorders>
            <w:shd w:fill="auto"/>
            <w:tcW w:type="dxa" w:w="5579"/>
            <w:tcMar>
              <w:top w:type="dxa" w:w="0"/>
              <w:left w:type="dxa" w:w="108"/>
              <w:bottom w:type="dxa" w:w="0"/>
              <w:right w:type="dxa" w:w="108"/>
            </w:tcMar>
          </w:tcPr>
          <w:p>
            <w:pPr>
              <w:pStyle w:val="style0"/>
            </w:pPr>
            <w:r>
              <w:rPr>
                <w:sz w:val="20"/>
                <w:u w:val="single"/>
                <w:szCs w:val="20"/>
                <w:rFonts w:ascii="Calibri" w:cs="Calibri" w:hAnsi="Calibri"/>
              </w:rPr>
              <w:t>Task 2:</w:t>
            </w:r>
            <w:r>
              <w:rPr>
                <w:sz w:val="20"/>
                <w:szCs w:val="20"/>
                <w:rFonts w:ascii="Calibri" w:cs="Calibri" w:hAnsi="Calibri"/>
              </w:rPr>
              <w:t xml:space="preserve"> </w:t>
            </w:r>
            <w:r>
              <w:rPr>
                <w:sz w:val="22"/>
                <w:szCs w:val="22"/>
                <w:bCs/>
                <w:rFonts w:ascii="Calibri" w:cs="Calibri" w:hAnsi="Calibri"/>
              </w:rPr>
              <w:t>Pre-test the training sessions for three target groups (in three regions: the North, the South and the Central Highland) and adapt training outline and material accordingly</w:t>
            </w:r>
          </w:p>
          <w:p>
            <w:pPr>
              <w:pStyle w:val="style0"/>
            </w:pPr>
            <w:r>
              <w:rPr>
                <w:sz w:val="20"/>
                <w:i/>
                <w:u w:val="single"/>
                <w:szCs w:val="20"/>
                <w:rFonts w:ascii="Calibri" w:cs="Calibri" w:hAnsi="Calibri"/>
              </w:rPr>
              <w:t xml:space="preserve">Output: </w:t>
            </w:r>
            <w:r>
              <w:rPr>
                <w:sz w:val="22"/>
                <w:szCs w:val="22"/>
                <w:bCs/>
                <w:rFonts w:ascii="Calibri" w:cs="Calibri" w:hAnsi="Calibri"/>
              </w:rPr>
              <w:t>Tested and adapted training module and materials to suit local contexts of different regions</w:t>
            </w:r>
          </w:p>
        </w:tc>
        <w:tc>
          <w:tcPr>
            <w:tcBorders>
              <w:top w:color="00000A" w:space="0" w:sz="4" w:val="single"/>
              <w:left w:color="00000A" w:space="0" w:sz="4" w:val="single"/>
              <w:bottom w:color="00000A" w:space="0" w:sz="4" w:val="single"/>
              <w:right w:color="00000A" w:space="0" w:sz="4" w:val="single"/>
            </w:tcBorders>
            <w:shd w:fill="auto"/>
            <w:tcW w:type="dxa" w:w="6659"/>
            <w:tcMar>
              <w:top w:type="dxa" w:w="0"/>
              <w:left w:type="dxa" w:w="108"/>
              <w:bottom w:type="dxa" w:w="0"/>
              <w:right w:type="dxa" w:w="108"/>
            </w:tcMar>
          </w:tcPr>
          <w:p>
            <w:pPr>
              <w:pStyle w:val="style0"/>
              <w:jc w:val="both"/>
              <w:spacing w:line="360" w:lineRule="atLeast"/>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7559"/>
            <w:tcMar>
              <w:top w:type="dxa" w:w="0"/>
              <w:left w:type="dxa" w:w="108"/>
              <w:bottom w:type="dxa" w:w="0"/>
              <w:right w:type="dxa" w:w="108"/>
            </w:tcMar>
          </w:tcPr>
          <w:p>
            <w:pPr>
              <w:pStyle w:val="style0"/>
              <w:jc w:val="both"/>
              <w:spacing w:line="360" w:lineRule="atLeast"/>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8549"/>
            <w:tcMar>
              <w:top w:type="dxa" w:w="0"/>
              <w:left w:type="dxa" w:w="108"/>
              <w:bottom w:type="dxa" w:w="0"/>
              <w:right w:type="dxa" w:w="108"/>
            </w:tcMar>
          </w:tcPr>
          <w:p>
            <w:pPr>
              <w:pStyle w:val="style0"/>
              <w:jc w:val="both"/>
              <w:spacing w:line="360" w:lineRule="atLeast"/>
            </w:pPr>
            <w:r>
              <w:rPr>
                <w:sz w:val="20"/>
                <w:szCs w:val="20"/>
                <w:rFonts w:ascii="Calibri" w:cs="Calibri" w:hAnsi="Calibri"/>
              </w:rPr>
            </w:r>
          </w:p>
        </w:tc>
      </w:tr>
      <w:tr>
        <w:trPr>
          <w:trHeight w:hRule="atLeast" w:val="467"/>
          <w:cantSplit w:val="off"/>
        </w:trPr>
        <w:tc>
          <w:tcPr>
            <w:tcBorders>
              <w:top w:color="00000A" w:space="0" w:sz="4" w:val="single"/>
              <w:left w:color="00000A" w:space="0" w:sz="4" w:val="single"/>
              <w:bottom w:color="00000A" w:space="0" w:sz="4" w:val="single"/>
              <w:right w:color="00000A" w:space="0" w:sz="4" w:val="single"/>
            </w:tcBorders>
            <w:shd w:fill="auto"/>
            <w:tcW w:type="dxa" w:w="5579"/>
            <w:tcMar>
              <w:top w:type="dxa" w:w="0"/>
              <w:left w:type="dxa" w:w="108"/>
              <w:bottom w:type="dxa" w:w="0"/>
              <w:right w:type="dxa" w:w="108"/>
            </w:tcMar>
          </w:tcPr>
          <w:p>
            <w:pPr>
              <w:pStyle w:val="style0"/>
              <w:jc w:val="both"/>
            </w:pPr>
            <w:r>
              <w:rPr>
                <w:sz w:val="20"/>
                <w:u w:val="single"/>
                <w:szCs w:val="20"/>
                <w:rFonts w:ascii="Calibri" w:cs="Calibri" w:hAnsi="Calibri"/>
              </w:rPr>
              <w:t>Task 3:</w:t>
            </w:r>
            <w:r>
              <w:rPr>
                <w:sz w:val="20"/>
                <w:szCs w:val="20"/>
                <w:rFonts w:ascii="Calibri" w:cs="Calibri" w:hAnsi="Calibri"/>
              </w:rPr>
              <w:t xml:space="preserve"> </w:t>
            </w:r>
            <w:r>
              <w:rPr>
                <w:sz w:val="22"/>
                <w:szCs w:val="22"/>
                <w:bCs/>
                <w:rFonts w:ascii="Calibri" w:cs="Calibri" w:hAnsi="Calibri"/>
              </w:rPr>
              <w:t>Conduct Training-of-Trainers (TOT) courses for core lecturers and trainers in the Ha Noi and HCMC</w:t>
            </w:r>
          </w:p>
          <w:p>
            <w:pPr>
              <w:pStyle w:val="style0"/>
            </w:pPr>
            <w:r>
              <w:rPr>
                <w:sz w:val="20"/>
                <w:i/>
                <w:u w:val="single"/>
                <w:szCs w:val="20"/>
                <w:rFonts w:ascii="Calibri" w:cs="Calibri" w:hAnsi="Calibri"/>
              </w:rPr>
              <w:t>Output:</w:t>
            </w:r>
            <w:r>
              <w:rPr>
                <w:sz w:val="20"/>
                <w:i/>
                <w:szCs w:val="20"/>
                <w:rFonts w:ascii="Calibri" w:cs="Calibri" w:hAnsi="Calibri"/>
              </w:rPr>
              <w:t xml:space="preserve"> </w:t>
            </w:r>
            <w:r>
              <w:rPr>
                <w:sz w:val="22"/>
                <w:szCs w:val="22"/>
                <w:bCs/>
                <w:rFonts w:ascii="Calibri" w:cs="Calibri" w:hAnsi="Calibri"/>
              </w:rPr>
              <w:t>TOT courses conducted in Hanoi and HCMC</w:t>
            </w:r>
          </w:p>
          <w:p>
            <w:pPr>
              <w:pStyle w:val="style0"/>
              <w:jc w:val="both"/>
            </w:pPr>
            <w:r>
              <w:rPr>
                <w:sz w:val="22"/>
                <w:szCs w:val="22"/>
                <w:bCs/>
                <w:rFonts w:ascii="Calibri" w:cs="Calibri" w:hAnsi="Calibri"/>
              </w:rPr>
              <w:t>Annotated training materials for trainers</w:t>
            </w:r>
          </w:p>
        </w:tc>
        <w:tc>
          <w:tcPr>
            <w:tcBorders>
              <w:top w:color="00000A" w:space="0" w:sz="4" w:val="single"/>
              <w:left w:color="00000A" w:space="0" w:sz="4" w:val="single"/>
              <w:bottom w:color="00000A" w:space="0" w:sz="4" w:val="single"/>
              <w:right w:color="00000A" w:space="0" w:sz="4" w:val="single"/>
            </w:tcBorders>
            <w:shd w:fill="auto"/>
            <w:tcW w:type="dxa" w:w="6659"/>
            <w:tcMar>
              <w:top w:type="dxa" w:w="0"/>
              <w:left w:type="dxa" w:w="108"/>
              <w:bottom w:type="dxa" w:w="0"/>
              <w:right w:type="dxa" w:w="108"/>
            </w:tcMar>
          </w:tcPr>
          <w:p>
            <w:pPr>
              <w:pStyle w:val="style0"/>
              <w:jc w:val="both"/>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7559"/>
            <w:tcMar>
              <w:top w:type="dxa" w:w="0"/>
              <w:left w:type="dxa" w:w="108"/>
              <w:bottom w:type="dxa" w:w="0"/>
              <w:right w:type="dxa" w:w="108"/>
            </w:tcMar>
          </w:tcPr>
          <w:p>
            <w:pPr>
              <w:pStyle w:val="style0"/>
              <w:jc w:val="both"/>
            </w:pPr>
            <w:r>
              <w:rPr>
                <w:sz w:val="20"/>
                <w:szCs w:val="20"/>
                <w:rFonts w:ascii="Calibri" w:cs="Calibri" w:hAnsi="Calibri"/>
              </w:rPr>
            </w:r>
          </w:p>
        </w:tc>
        <w:tc>
          <w:tcPr>
            <w:tcBorders>
              <w:top w:color="00000A" w:space="0" w:sz="4" w:val="single"/>
              <w:left w:color="00000A" w:space="0" w:sz="4" w:val="single"/>
              <w:bottom w:color="00000A" w:space="0" w:sz="4" w:val="single"/>
              <w:right w:color="00000A" w:space="0" w:sz="4" w:val="single"/>
            </w:tcBorders>
            <w:shd w:fill="auto"/>
            <w:tcW w:type="dxa" w:w="8549"/>
            <w:tcMar>
              <w:top w:type="dxa" w:w="0"/>
              <w:left w:type="dxa" w:w="108"/>
              <w:bottom w:type="dxa" w:w="0"/>
              <w:right w:type="dxa" w:w="108"/>
            </w:tcMar>
          </w:tcPr>
          <w:p>
            <w:pPr>
              <w:pStyle w:val="style0"/>
              <w:jc w:val="both"/>
            </w:pPr>
            <w:r>
              <w:rPr>
                <w:sz w:val="20"/>
                <w:szCs w:val="20"/>
                <w:rFonts w:ascii="Calibri" w:cs="Calibri" w:hAnsi="Calibri"/>
              </w:rPr>
            </w:r>
          </w:p>
        </w:tc>
      </w:tr>
    </w:tbl>
    <w:p>
      <w:pPr>
        <w:pStyle w:val="style0"/>
        <w:jc w:val="both"/>
      </w:pPr>
      <w:r>
        <w:rPr>
          <w:sz w:val="22"/>
          <w:szCs w:val="22"/>
          <w:rFonts w:ascii="Calibri" w:cs="Calibri" w:hAnsi="Calibri"/>
        </w:rPr>
      </w:r>
    </w:p>
    <w:p>
      <w:pPr>
        <w:pStyle w:val="style0"/>
        <w:jc w:val="both"/>
      </w:pPr>
      <w:r>
        <w:rPr>
          <w:sz w:val="22"/>
          <w:szCs w:val="22"/>
          <w:rFonts w:ascii="Calibri" w:cs="Calibri" w:hAnsi="Calibri"/>
        </w:rPr>
      </w:r>
    </w:p>
    <w:p>
      <w:pPr>
        <w:pStyle w:val="style0"/>
        <w:jc w:val="both"/>
      </w:pPr>
      <w:r>
        <w:rPr>
          <w:color w:val="009CFD"/>
          <w:sz w:val="28"/>
          <w:b/>
          <w:szCs w:val="28"/>
          <w:rFonts w:ascii="Arial" w:cs="Arial" w:hAnsi="Arial"/>
        </w:rPr>
        <w:t xml:space="preserve">Management </w:t>
      </w:r>
    </w:p>
    <w:p>
      <w:pPr>
        <w:pStyle w:val="style0"/>
        <w:jc w:val="both"/>
      </w:pPr>
      <w:r>
        <w:rPr>
          <w:sz w:val="22"/>
          <w:szCs w:val="22"/>
          <w:rFonts w:ascii="Calibri" w:cs="Calibri" w:hAnsi="Calibri"/>
          <w:lang w:val="en-GB"/>
        </w:rPr>
      </w:r>
    </w:p>
    <w:p>
      <w:pPr>
        <w:pStyle w:val="style0"/>
        <w:jc w:val="both"/>
        <w:ind w:hanging="0" w:left="720" w:right="0"/>
      </w:pPr>
      <w:r>
        <w:rPr>
          <w:sz w:val="22"/>
          <w:szCs w:val="22"/>
          <w:bCs/>
          <w:rFonts w:ascii="Calibri" w:cs="Calibri" w:hAnsi="Calibri"/>
        </w:rPr>
        <w:t xml:space="preserve">The assignment will be undertaken under the supervision of the Chief of Social Policy and Governance Programme (SPG) of UNICEF Viet Nam with strong support from SPG’s Social Policy and Governance Specialist. </w:t>
      </w:r>
    </w:p>
    <w:p>
      <w:pPr>
        <w:pStyle w:val="style0"/>
        <w:jc w:val="both"/>
        <w:ind w:hanging="0" w:left="720" w:right="0"/>
      </w:pPr>
      <w:r>
        <w:rPr>
          <w:sz w:val="22"/>
          <w:szCs w:val="22"/>
          <w:bCs/>
          <w:rFonts w:ascii="Calibri" w:cs="Calibri" w:hAnsi="Calibri"/>
        </w:rPr>
      </w:r>
    </w:p>
    <w:p>
      <w:pPr>
        <w:pStyle w:val="style0"/>
        <w:jc w:val="both"/>
      </w:pPr>
      <w:r>
        <w:rPr>
          <w:color w:val="009CFD"/>
          <w:sz w:val="28"/>
          <w:b/>
          <w:szCs w:val="28"/>
          <w:rFonts w:ascii="Arial" w:cs="Arial" w:hAnsi="Arial"/>
        </w:rPr>
        <w:t>Qualifications and experience required:</w:t>
      </w:r>
    </w:p>
    <w:p>
      <w:pPr>
        <w:pStyle w:val="style45"/>
        <w:ind w:hanging="0" w:left="720" w:right="0"/>
      </w:pPr>
      <w:r>
        <w:rPr>
          <w:sz w:val="22"/>
          <w:szCs w:val="22"/>
          <w:rFonts w:ascii="Calibri" w:cs="Calibri" w:hAnsi="Calibri"/>
        </w:rPr>
      </w:r>
    </w:p>
    <w:p>
      <w:pPr>
        <w:pStyle w:val="style0"/>
        <w:jc w:val="both"/>
        <w:ind w:hanging="0" w:left="720" w:right="0"/>
      </w:pPr>
      <w:r>
        <w:rPr>
          <w:sz w:val="22"/>
          <w:szCs w:val="22"/>
          <w:rFonts w:ascii="Calibri" w:cs="Calibri" w:hAnsi="Calibri"/>
        </w:rPr>
        <w:t xml:space="preserve">In order to fully achieve this assignment’s objectives, UNICEF is looking for an international consultant with the following experience and qualifications: </w:t>
      </w:r>
    </w:p>
    <w:p>
      <w:pPr>
        <w:pStyle w:val="style45"/>
        <w:ind w:hanging="0" w:left="720" w:right="0"/>
      </w:pPr>
      <w:r>
        <w:rPr>
          <w:sz w:val="22"/>
          <w:szCs w:val="22"/>
          <w:rFonts w:ascii="Calibri" w:cs="Calibri" w:hAnsi="Calibri"/>
        </w:rPr>
      </w:r>
    </w:p>
    <w:p>
      <w:pPr>
        <w:pStyle w:val="style47"/>
        <w:numPr>
          <w:ilvl w:val="0"/>
          <w:numId w:val="3"/>
        </w:numPr>
        <w:jc w:val="both"/>
        <w:spacing w:after="200" w:before="0"/>
      </w:pPr>
      <w:r>
        <w:rPr>
          <w:sz w:val="22"/>
          <w:szCs w:val="22"/>
          <w:rFonts w:ascii="Calibri" w:cs="Calibri" w:eastAsia="MS Mincho" w:hAnsi="Calibri"/>
          <w:lang w:eastAsia="ja-JP" w:val="en-US"/>
        </w:rPr>
        <w:t xml:space="preserve">Master’s Degree in related field (Social Sciences, Public Administration, Economics, Political Sciences). </w:t>
      </w:r>
    </w:p>
    <w:p>
      <w:pPr>
        <w:pStyle w:val="style47"/>
        <w:numPr>
          <w:ilvl w:val="0"/>
          <w:numId w:val="3"/>
        </w:numPr>
        <w:jc w:val="both"/>
        <w:spacing w:after="200" w:before="0"/>
      </w:pPr>
      <w:r>
        <w:rPr>
          <w:sz w:val="22"/>
          <w:szCs w:val="22"/>
          <w:rFonts w:ascii="Calibri" w:cs="Calibri" w:eastAsia="MS Mincho" w:hAnsi="Calibri"/>
          <w:lang w:eastAsia="ja-JP" w:val="en-US"/>
        </w:rPr>
        <w:t>Minimum 10 years of experience providing professional advice in the area of public administration, local governance, socio-economic planning and result-based management;</w:t>
      </w:r>
    </w:p>
    <w:p>
      <w:pPr>
        <w:pStyle w:val="style47"/>
        <w:numPr>
          <w:ilvl w:val="0"/>
          <w:numId w:val="3"/>
        </w:numPr>
        <w:jc w:val="both"/>
        <w:spacing w:after="200" w:before="0"/>
      </w:pPr>
      <w:r>
        <w:rPr>
          <w:sz w:val="22"/>
          <w:szCs w:val="22"/>
          <w:rFonts w:ascii="Calibri" w:cs="Calibri" w:eastAsia="MS Mincho" w:hAnsi="Calibri"/>
          <w:lang w:eastAsia="ja-JP" w:val="en-US"/>
        </w:rPr>
        <w:t xml:space="preserve">Experience in designing and reviewing training courses in public administration (preferably result based PM&amp;E and citizen feedback capturing), including development of training materials; </w:t>
      </w:r>
    </w:p>
    <w:p>
      <w:pPr>
        <w:pStyle w:val="style47"/>
        <w:numPr>
          <w:ilvl w:val="0"/>
          <w:numId w:val="3"/>
        </w:numPr>
        <w:jc w:val="both"/>
        <w:spacing w:after="200" w:before="0"/>
      </w:pPr>
      <w:r>
        <w:rPr>
          <w:sz w:val="22"/>
          <w:szCs w:val="22"/>
          <w:rFonts w:ascii="Calibri" w:cs="Calibri" w:eastAsia="MS Mincho" w:hAnsi="Calibri"/>
          <w:lang w:eastAsia="ja-JP" w:val="en-US"/>
        </w:rPr>
        <w:t>Demonstrated familiarity with the Vietnamese institutional and political context; and</w:t>
      </w:r>
    </w:p>
    <w:p>
      <w:pPr>
        <w:pStyle w:val="style47"/>
        <w:numPr>
          <w:ilvl w:val="0"/>
          <w:numId w:val="4"/>
        </w:numPr>
        <w:jc w:val="both"/>
        <w:spacing w:after="200" w:before="0"/>
      </w:pPr>
      <w:r>
        <w:rPr>
          <w:sz w:val="22"/>
          <w:szCs w:val="22"/>
          <w:rFonts w:ascii="Calibri" w:cs="Calibri" w:eastAsia="MS Mincho" w:hAnsi="Calibri"/>
          <w:lang w:eastAsia="ja-JP" w:val="en-US"/>
        </w:rPr>
        <w:t xml:space="preserve">Fluency in written and oral English is required. </w:t>
      </w:r>
    </w:p>
    <w:p>
      <w:pPr>
        <w:pStyle w:val="style56"/>
        <w:jc w:val="both"/>
      </w:pPr>
      <w:r>
        <w:rPr>
          <w:color w:val="009CFD"/>
          <w:sz w:val="28"/>
          <w:b/>
          <w:szCs w:val="28"/>
          <w:rFonts w:ascii="Arial" w:cs="Arial" w:hAnsi="Arial"/>
        </w:rPr>
        <w:t>Policy both parties should be aware of:</w:t>
      </w:r>
    </w:p>
    <w:p>
      <w:pPr>
        <w:pStyle w:val="style56"/>
        <w:jc w:val="both"/>
      </w:pPr>
      <w:r>
        <w:rPr>
          <w:color w:val="00000A"/>
          <w:sz w:val="22"/>
          <w:szCs w:val="22"/>
          <w:rFonts w:ascii="Arial" w:cs="Arial" w:hAnsi="Arial"/>
        </w:rPr>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Under the consultancy agreements, a month is defined as 22 working days, and fees are prorated accordingly.  Consultants are not paid for weekends or public holidays.</w:t>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Consultants are not entitled to payment of overtime.  All remuneration must be within the contract agreement.</w:t>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No contract may commence unless the contract is signed by both UNICEF and the consultant or Contractor.</w:t>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For international consultants outside the duty station, signed contracts must be sent by fax or email.  Signed contract copy or written agreement must be received by the office before Travel Authorization is issued.</w:t>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No consultant may travel without a signed travel authorization prior to the commencement of the journey to the duty station.</w:t>
      </w:r>
    </w:p>
    <w:p>
      <w:pPr>
        <w:pStyle w:val="style56"/>
        <w:numPr>
          <w:ilvl w:val="0"/>
          <w:numId w:val="5"/>
        </w:numPr>
        <w:jc w:val="both"/>
        <w:spacing w:after="0" w:before="0" w:line="100" w:lineRule="atLeast"/>
      </w:pPr>
      <w:r>
        <w:rPr>
          <w:color w:val="00000A"/>
          <w:sz w:val="22"/>
          <w:szCs w:val="22"/>
          <w:rFonts w:ascii="Calibri" w:cs="Calibri" w:eastAsia="MS Mincho" w:hAnsi="Calibri"/>
          <w:lang w:eastAsia="ja-JP"/>
        </w:rPr>
        <w:t>Unless authorized, UNICEF will buy the tickets of the consultant.  In some cases, the consultant may be authorized to buy their travel tickets and shall be reimbursed at the “most economical and direct route” but this must be agreed beforehand.</w:t>
      </w:r>
    </w:p>
    <w:p>
      <w:pPr>
        <w:pStyle w:val="style0"/>
        <w:numPr>
          <w:ilvl w:val="0"/>
          <w:numId w:val="5"/>
        </w:numPr>
        <w:jc w:val="both"/>
      </w:pPr>
      <w:r>
        <w:rPr>
          <w:sz w:val="22"/>
          <w:szCs w:val="22"/>
          <w:rFonts w:ascii="Calibri" w:cs="Calibri" w:hAnsi="Calibri"/>
        </w:rPr>
        <w:t>Consultants will not have supervisory responsibilities or authority on UNICEF budget.</w:t>
      </w:r>
    </w:p>
    <w:p>
      <w:pPr>
        <w:pStyle w:val="style0"/>
        <w:numPr>
          <w:ilvl w:val="0"/>
          <w:numId w:val="5"/>
        </w:numPr>
        <w:jc w:val="both"/>
      </w:pPr>
      <w:r>
        <w:rPr>
          <w:sz w:val="22"/>
          <w:szCs w:val="22"/>
          <w:rFonts w:ascii="Calibri" w:cs="Calibri" w:hAnsi="Calibri"/>
        </w:rPr>
        <w:t>Consultant will be required to sign the Health Statement for consultants/Individual contractor prior to taking up the assignment, and to document that they have appropriate health insurance, including Medical Evacuation.</w:t>
      </w:r>
    </w:p>
    <w:p>
      <w:pPr>
        <w:pStyle w:val="style0"/>
        <w:numPr>
          <w:ilvl w:val="0"/>
          <w:numId w:val="5"/>
        </w:numPr>
        <w:jc w:val="both"/>
      </w:pPr>
      <w:r>
        <w:rPr>
          <w:sz w:val="22"/>
          <w:szCs w:val="22"/>
          <w:rFonts w:ascii="Calibri" w:cs="Calibri" w:hAnsi="Calibri"/>
        </w:rPr>
        <w:t>The Form 'Designation, change or revocation of beneficiary' must be completed by the consultant.</w:t>
      </w:r>
    </w:p>
    <w:p>
      <w:pPr>
        <w:pStyle w:val="style0"/>
      </w:pPr>
      <w:bookmarkStart w:id="0" w:name="_GoBack"/>
      <w:bookmarkStart w:id="1" w:name="_GoBack"/>
      <w:bookmarkEnd w:id="1"/>
      <w:r>
        <w:rPr>
          <w:b/>
          <w:rFonts w:ascii="Arial" w:cs="Arial" w:hAnsi="Arial"/>
          <w:lang w:val="en-GB"/>
        </w:rPr>
      </w:r>
    </w:p>
    <w:p>
      <w:pPr>
        <w:pStyle w:val="style0"/>
      </w:pPr>
      <w:r>
        <w:rPr>
          <w:b/>
          <w:rFonts w:ascii="Arial" w:cs="Arial" w:hAnsi="Arial"/>
          <w:lang w:val="en-GB"/>
        </w:rPr>
      </w:r>
    </w:p>
    <w:p>
      <w:pPr>
        <w:pStyle w:val="style0"/>
        <w:jc w:val="both"/>
        <w:spacing w:line="276" w:lineRule="atLeast"/>
      </w:pPr>
      <w:r>
        <w:rPr>
          <w:sz w:val="22"/>
          <w:b/>
          <w:szCs w:val="22"/>
          <w:bCs/>
          <w:rFonts w:ascii="Calibri" w:cs="Arial" w:hAnsi="Calibri"/>
          <w:lang w:val="en-GB"/>
        </w:rPr>
        <w:t xml:space="preserve">Interested candidates are kindly requested to submit the following information: </w:t>
      </w:r>
    </w:p>
    <w:p>
      <w:pPr>
        <w:pStyle w:val="style0"/>
        <w:numPr>
          <w:ilvl w:val="0"/>
          <w:numId w:val="6"/>
        </w:numPr>
        <w:jc w:val="both"/>
        <w:spacing w:line="276" w:lineRule="atLeast"/>
      </w:pPr>
      <w:r>
        <w:rPr>
          <w:sz w:val="22"/>
          <w:szCs w:val="22"/>
          <w:bCs/>
          <w:rFonts w:ascii="Calibri" w:cs="Arial" w:hAnsi="Calibri"/>
          <w:lang w:val="en-GB"/>
        </w:rPr>
        <w:t>Letter of interest</w:t>
      </w:r>
    </w:p>
    <w:p>
      <w:pPr>
        <w:pStyle w:val="style0"/>
        <w:numPr>
          <w:ilvl w:val="0"/>
          <w:numId w:val="6"/>
        </w:numPr>
        <w:jc w:val="both"/>
        <w:spacing w:line="276" w:lineRule="atLeast"/>
      </w:pPr>
      <w:r>
        <w:rPr>
          <w:sz w:val="22"/>
          <w:szCs w:val="22"/>
          <w:bCs/>
          <w:rFonts w:ascii="Calibri" w:cs="Arial" w:hAnsi="Calibri"/>
          <w:lang w:val="en-GB"/>
        </w:rPr>
        <w:t>Proposed fees</w:t>
      </w:r>
    </w:p>
    <w:p>
      <w:pPr>
        <w:pStyle w:val="style0"/>
        <w:numPr>
          <w:ilvl w:val="0"/>
          <w:numId w:val="6"/>
        </w:numPr>
        <w:jc w:val="both"/>
      </w:pPr>
      <w:r>
        <w:rPr>
          <w:sz w:val="22"/>
          <w:szCs w:val="22"/>
          <w:bCs/>
          <w:rFonts w:ascii="Calibri" w:cs="Arial" w:hAnsi="Calibri"/>
          <w:lang w:val="en-GB"/>
        </w:rPr>
        <w:t xml:space="preserve">P-11 form </w:t>
      </w:r>
      <w:r>
        <w:rPr>
          <w:sz w:val="22"/>
          <w:i/>
          <w:szCs w:val="22"/>
          <w:bCs/>
          <w:rFonts w:ascii="Calibri" w:cs="Calibri" w:hAnsi="Calibri"/>
          <w:lang w:val="en-GB"/>
        </w:rPr>
        <w:t xml:space="preserve">( </w:t>
      </w:r>
      <w:hyperlink r:id="rId2">
        <w:r>
          <w:rPr>
            <w:sz w:val="22"/>
            <w:i/>
            <w:szCs w:val="22"/>
            <w:rStyle w:val="style27"/>
            <w:rFonts w:ascii="Calibri" w:cs="Calibri" w:hAnsi="Calibri"/>
            <w:lang w:val="en-GB"/>
          </w:rPr>
          <w:t xml:space="preserve">UN Personal History Form </w:t>
        </w:r>
      </w:hyperlink>
      <w:r>
        <w:rPr>
          <w:sz w:val="22"/>
          <w:i/>
          <w:szCs w:val="22"/>
          <w:rFonts w:ascii="Calibri" w:cs="Calibri" w:hAnsi="Calibri"/>
        </w:rPr>
        <w:t>)</w:t>
      </w:r>
    </w:p>
    <w:p>
      <w:pPr>
        <w:pStyle w:val="style0"/>
        <w:jc w:val="both"/>
        <w:ind w:hanging="0" w:left="720" w:right="0"/>
        <w:spacing w:line="276" w:lineRule="atLeast"/>
      </w:pPr>
      <w:r>
        <w:rPr>
          <w:sz w:val="22"/>
          <w:u w:val="single"/>
          <w:b/>
          <w:szCs w:val="22"/>
          <w:iCs/>
          <w:bCs/>
          <w:rFonts w:ascii="Calibri" w:cs="Arial" w:hAnsi="Calibri"/>
        </w:rPr>
      </w:r>
    </w:p>
    <w:p>
      <w:pPr>
        <w:pStyle w:val="style0"/>
        <w:jc w:val="both"/>
        <w:spacing w:line="276" w:lineRule="atLeast"/>
      </w:pPr>
      <w:r>
        <w:rPr>
          <w:sz w:val="22"/>
          <w:szCs w:val="22"/>
          <w:bCs/>
          <w:rFonts w:ascii="Calibri" w:cs="Arial" w:hAnsi="Calibri"/>
          <w:lang w:val="en-GB"/>
        </w:rPr>
        <w:t xml:space="preserve">Please indicate the title of the assignment on the top left corner of envelop and address to UNICEF at: </w:t>
      </w:r>
    </w:p>
    <w:p>
      <w:pPr>
        <w:pStyle w:val="style0"/>
        <w:jc w:val="both"/>
        <w:spacing w:after="0" w:before="120" w:line="276" w:lineRule="atLeast"/>
      </w:pPr>
      <w:r>
        <w:rPr>
          <w:color w:val="000000"/>
          <w:sz w:val="22"/>
          <w:b/>
          <w:szCs w:val="22"/>
          <w:rFonts w:ascii="Calibri" w:cs="Arial" w:hAnsi="Calibri"/>
        </w:rPr>
        <w:t>Human Resources Unit</w:t>
      </w:r>
    </w:p>
    <w:p>
      <w:pPr>
        <w:pStyle w:val="style0"/>
        <w:jc w:val="both"/>
        <w:spacing w:line="276" w:lineRule="atLeast"/>
      </w:pPr>
      <w:r>
        <w:rPr>
          <w:color w:val="000000"/>
          <w:sz w:val="22"/>
          <w:b/>
          <w:szCs w:val="22"/>
          <w:rFonts w:ascii="Calibri" w:cs="Arial" w:hAnsi="Calibri"/>
        </w:rPr>
        <w:t>UNICEF Viet Nam</w:t>
      </w:r>
    </w:p>
    <w:p>
      <w:pPr>
        <w:pStyle w:val="style0"/>
        <w:jc w:val="both"/>
        <w:spacing w:line="276" w:lineRule="atLeast"/>
      </w:pPr>
      <w:r>
        <w:rPr>
          <w:color w:val="000000"/>
          <w:sz w:val="22"/>
          <w:b/>
          <w:szCs w:val="22"/>
          <w:rFonts w:ascii="Calibri" w:cs="Arial" w:hAnsi="Calibri"/>
        </w:rPr>
        <w:t>81A Tran Quoc Toan street, Ha Noi, Viet Nam</w:t>
      </w:r>
    </w:p>
    <w:p>
      <w:pPr>
        <w:pStyle w:val="style0"/>
        <w:jc w:val="both"/>
        <w:spacing w:line="276" w:lineRule="atLeast"/>
      </w:pPr>
      <w:r>
        <w:rPr>
          <w:color w:val="000000"/>
          <w:sz w:val="22"/>
          <w:b/>
          <w:szCs w:val="22"/>
          <w:rFonts w:ascii="Calibri" w:cs="Arial" w:hAnsi="Calibri"/>
        </w:rPr>
      </w:r>
    </w:p>
    <w:p>
      <w:pPr>
        <w:pStyle w:val="style0"/>
        <w:jc w:val="both"/>
        <w:spacing w:line="276" w:lineRule="atLeast"/>
      </w:pPr>
      <w:r>
        <w:rPr>
          <w:color w:val="000000"/>
          <w:sz w:val="22"/>
          <w:b/>
          <w:szCs w:val="22"/>
          <w:rFonts w:ascii="Calibri" w:cs="Arial" w:hAnsi="Calibri"/>
        </w:rPr>
        <w:t xml:space="preserve">Or via email: </w:t>
      </w:r>
      <w:r>
        <w:rPr>
          <w:color w:val="00B0F0"/>
          <w:sz w:val="22"/>
          <w:u w:val="single"/>
          <w:b/>
          <w:szCs w:val="22"/>
          <w:rFonts w:ascii="Calibri" w:cs="Arial" w:hAnsi="Calibri"/>
        </w:rPr>
        <w:t>vietnamhr@unicef.org</w:t>
      </w:r>
    </w:p>
    <w:p>
      <w:pPr>
        <w:pStyle w:val="style0"/>
        <w:jc w:val="both"/>
        <w:spacing w:line="276" w:lineRule="atLeast"/>
      </w:pPr>
      <w:r>
        <w:rPr>
          <w:color w:val="000000"/>
          <w:sz w:val="22"/>
          <w:szCs w:val="22"/>
          <w:rFonts w:ascii="Calibri" w:cs="Arial" w:hAnsi="Calibri"/>
        </w:rPr>
      </w:r>
    </w:p>
    <w:p>
      <w:pPr>
        <w:pStyle w:val="style0"/>
        <w:jc w:val="both"/>
        <w:spacing w:line="276" w:lineRule="atLeast"/>
      </w:pPr>
      <w:r>
        <w:rPr>
          <w:sz w:val="22"/>
          <w:szCs w:val="22"/>
          <w:rFonts w:ascii="Calibri" w:cs="Arial" w:hAnsi="Calibri"/>
        </w:rPr>
        <w:t xml:space="preserve">Submission Deadline: </w:t>
      </w:r>
      <w:r>
        <w:rPr>
          <w:sz w:val="22"/>
          <w:b/>
          <w:szCs w:val="22"/>
          <w:rFonts w:ascii="Calibri" w:cs="Arial" w:hAnsi="Calibri"/>
        </w:rPr>
        <w:t>13 May 2013 at 17:00 PM (Ha Noi Time).</w:t>
      </w:r>
    </w:p>
    <w:p>
      <w:pPr>
        <w:pStyle w:val="style0"/>
        <w:jc w:val="both"/>
        <w:spacing w:line="276" w:lineRule="atLeast"/>
      </w:pPr>
      <w:r>
        <w:rPr>
          <w:sz w:val="22"/>
          <w:b/>
          <w:szCs w:val="22"/>
          <w:rFonts w:ascii="Calibri" w:cs="Arial" w:hAnsi="Calibri"/>
        </w:rPr>
      </w:r>
    </w:p>
    <w:p>
      <w:pPr>
        <w:pStyle w:val="style0"/>
        <w:jc w:val="both"/>
      </w:pPr>
      <w:r>
        <w:rPr>
          <w:sz w:val="22"/>
          <w:b/>
          <w:szCs w:val="22"/>
          <w:rFonts w:ascii="Calibri" w:cs="Arial" w:hAnsi="Calibri"/>
        </w:rPr>
        <w:t>Only short-listed candidates will be called for test/interview. Any attempt to unduly influence UNICEF’s selection process will lead to automatic disqualification of the applicant.</w:t>
      </w:r>
    </w:p>
    <w:p>
      <w:pPr>
        <w:pStyle w:val="style0"/>
        <w:jc w:val="both"/>
      </w:pPr>
      <w:r>
        <w:rPr>
          <w:sz w:val="22"/>
          <w:b/>
          <w:szCs w:val="22"/>
          <w:rFonts w:ascii="Calibri" w:cs="Arial" w:hAnsi="Calibri"/>
        </w:rPr>
      </w:r>
    </w:p>
    <w:p>
      <w:pPr>
        <w:pStyle w:val="style0"/>
        <w:jc w:val="both"/>
        <w:spacing w:line="276" w:lineRule="atLeast"/>
      </w:pPr>
      <w:r>
        <w:rPr>
          <w:sz w:val="22"/>
          <w:b/>
          <w:szCs w:val="22"/>
          <w:rFonts w:ascii="Calibri" w:cs="Arial" w:hAnsi="Calibri"/>
        </w:rPr>
        <w:t xml:space="preserve">UNICEF IS COMMITTED TO GENDER EQUALITY AND EMPLOYMENT OF PERSONS WITH DISABILITIES IN ITS MANDATE AND ITS STAFF.  </w:t>
      </w:r>
    </w:p>
    <w:p>
      <w:pPr>
        <w:pStyle w:val="style0"/>
        <w:jc w:val="both"/>
        <w:spacing w:line="276" w:lineRule="atLeast"/>
      </w:pPr>
      <w:r>
        <w:rPr>
          <w:sz w:val="22"/>
          <w:b/>
          <w:szCs w:val="22"/>
          <w:rFonts w:ascii="Calibri" w:cs="Arial" w:hAnsi="Calibri"/>
        </w:rPr>
      </w:r>
    </w:p>
    <w:p>
      <w:pPr>
        <w:pStyle w:val="style0"/>
        <w:jc w:val="both"/>
        <w:spacing w:line="276" w:lineRule="atLeast"/>
      </w:pPr>
      <w:r>
        <w:rPr>
          <w:sz w:val="22"/>
          <w:b/>
          <w:szCs w:val="22"/>
          <w:rFonts w:ascii="Calibri" w:cs="Arial" w:hAnsi="Calibri"/>
        </w:rPr>
        <w:t>UNICEF IS A SMOKE-FREE ENVIRONMENT.</w:t>
      </w:r>
    </w:p>
    <w:p>
      <w:pPr>
        <w:pStyle w:val="style0"/>
        <w:jc w:val="both"/>
        <w:spacing w:line="276" w:lineRule="atLeast"/>
      </w:pPr>
      <w:r>
        <w:rPr>
          <w:u w:val="single"/>
          <w:b/>
          <w:iCs/>
          <w:bCs/>
          <w:rFonts w:ascii="Calibri" w:cs="Arial" w:hAnsi="Calibri"/>
        </w:rPr>
      </w:r>
    </w:p>
    <w:p>
      <w:pPr>
        <w:pStyle w:val="style0"/>
      </w:pPr>
      <w:r>
        <w:rPr/>
      </w:r>
    </w:p>
    <w:sectPr>
      <w:formProt w:val="off"/>
      <w:pgSz w:h="15840" w:w="12240"/>
      <w:textDirection w:val="lrTb"/>
      <w:pgNumType w:fmt="decimal"/>
      <w:type w:val="nextPage"/>
      <w:headerReference r:id="rId3" w:type="default"/>
      <w:footerReference r:id="rId4" w:type="even"/>
      <w:footerReference r:id="rId5"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w="http://schemas.openxmlformats.org/wordprocessingml/2006/main">
  <w:p>
    <w:pPr>
      <w:pStyle w:val="style44"/>
      <w:r>
        <w:fldChar w:fldCharType="begin"/>
      </w:r>
      <w:r>
        <w:rPr/>
        <w:fldChar w:fldCharType="begin"/>
      </w:r>
      <w:r>
        <w:instrText> PAGE </w:instrText>
      </w:r>
      <w:r>
        <w:fldChar w:fldCharType="separate"/>
      </w:r>
      <w:r>
        <w:t>4</w:t>
      </w:r>
      <w:r>
        <w:fldChar w:fldCharType="end"/>
      </w:r>
    </w:pPr>
  </w:p>
  <w:p>
    <w:pPr>
      <w:pStyle w:val="style44"/>
    </w:pPr>
    <w:r>
      <w:rPr/>
    </w:r>
  </w:p>
</w:ftr>
</file>

<file path=word/footer2.xml><?xml version="1.0" encoding="utf-8"?>
<w:ftr xmlns:w="http://schemas.openxmlformats.org/wordprocessingml/2006/main">
  <w:p>
    <w:pPr>
      <w:pStyle w:val="style44"/>
      <w:r>
        <w:fldChar w:fldCharType="begin"/>
      </w:r>
      <w:r>
        <w:rPr/>
        <w:fldChar w:fldCharType="begin"/>
      </w:r>
      <w:r>
        <w:instrText> PAGE </w:instrText>
      </w:r>
      <w:r>
        <w:fldChar w:fldCharType="separate"/>
      </w:r>
      <w:r>
        <w:t>4</w:t>
      </w:r>
      <w:r>
        <w:fldChar w:fldCharType="end"/>
      </w:r>
    </w:pPr>
  </w:p>
  <w:p>
    <w:pPr>
      <w:pStyle w:val="style44"/>
    </w:pPr>
    <w:r>
      <w:rPr/>
    </w:r>
  </w:p>
</w:ftr>
</file>

<file path=word/header1.xml><?xml version="1.0" encoding="utf-8"?>
<w:hdr xmlns:w="http://schemas.openxmlformats.org/wordprocessingml/2006/main">
  <w:p>
    <w:pPr>
      <w:pStyle w:val="style55"/>
    </w:pPr>
    <w:r>
      <w:rPr/>
    </w:r>
  </w:p>
</w:hdr>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bullet"/>
      <w:lvlJc w:val="left"/>
      <w:lvlText w:val="-"/>
      <w:pPr>
        <w:ind w:hanging="360" w:left="360"/>
      </w:pPr>
      <w:rPr>
        <w:rFonts w:ascii="Arial" w:cs="Arial" w:hAnsi="Arial" w:hint="default"/>
      </w:rPr>
    </w:lvl>
    <w:lvl w:ilvl="1">
      <w:start w:val="1"/>
      <w:numFmt w:val="bullet"/>
      <w:lvlJc w:val="left"/>
      <w:lvlText w:val="o"/>
      <w:pPr>
        <w:ind w:hanging="360" w:left="1080"/>
      </w:pPr>
      <w:rPr>
        <w:rFonts w:ascii="Courier New" w:cs="Courier New" w:hAnsi="Courier New" w:hint="default"/>
      </w:rPr>
    </w:lvl>
    <w:lvl w:ilvl="2">
      <w:start w:val="1"/>
      <w:numFmt w:val="bullet"/>
      <w:lvlJc w:val="left"/>
      <w:lvlText w:val=""/>
      <w:pPr>
        <w:ind w:hanging="360" w:left="1800"/>
      </w:pPr>
      <w:rPr>
        <w:rFonts w:ascii="Wingdings" w:cs="Wingdings" w:hAnsi="Wingdings" w:hint="default"/>
      </w:rPr>
    </w:lvl>
    <w:lvl w:ilvl="3">
      <w:start w:val="1"/>
      <w:numFmt w:val="bullet"/>
      <w:lvlJc w:val="left"/>
      <w:lvlText w:val=""/>
      <w:pPr>
        <w:ind w:hanging="360" w:left="2520"/>
      </w:pPr>
      <w:rPr>
        <w:rFonts w:ascii="Symbol" w:cs="Symbol" w:hAnsi="Symbol" w:hint="default"/>
      </w:rPr>
    </w:lvl>
    <w:lvl w:ilvl="4">
      <w:start w:val="1"/>
      <w:numFmt w:val="bullet"/>
      <w:lvlJc w:val="left"/>
      <w:lvlText w:val="o"/>
      <w:pPr>
        <w:ind w:hanging="360" w:left="3240"/>
      </w:pPr>
      <w:rPr>
        <w:rFonts w:ascii="Courier New" w:cs="Courier New" w:hAnsi="Courier New" w:hint="default"/>
      </w:rPr>
    </w:lvl>
    <w:lvl w:ilvl="5">
      <w:start w:val="1"/>
      <w:numFmt w:val="bullet"/>
      <w:lvlJc w:val="left"/>
      <w:lvlText w:val=""/>
      <w:pPr>
        <w:ind w:hanging="360" w:left="3960"/>
      </w:pPr>
      <w:rPr>
        <w:rFonts w:ascii="Wingdings" w:cs="Wingdings" w:hAnsi="Wingdings" w:hint="default"/>
      </w:rPr>
    </w:lvl>
    <w:lvl w:ilvl="6">
      <w:start w:val="1"/>
      <w:numFmt w:val="bullet"/>
      <w:lvlJc w:val="left"/>
      <w:lvlText w:val=""/>
      <w:pPr>
        <w:ind w:hanging="360" w:left="4680"/>
      </w:pPr>
      <w:rPr>
        <w:rFonts w:ascii="Symbol" w:cs="Symbol" w:hAnsi="Symbol" w:hint="default"/>
      </w:rPr>
    </w:lvl>
    <w:lvl w:ilvl="7">
      <w:start w:val="1"/>
      <w:numFmt w:val="bullet"/>
      <w:lvlJc w:val="left"/>
      <w:lvlText w:val="o"/>
      <w:pPr>
        <w:ind w:hanging="360" w:left="5400"/>
      </w:pPr>
      <w:rPr>
        <w:rFonts w:ascii="Courier New" w:cs="Courier New" w:hAnsi="Courier New" w:hint="default"/>
      </w:rPr>
    </w:lvl>
    <w:lvl w:ilvl="8">
      <w:start w:val="1"/>
      <w:numFmt w:val="bullet"/>
      <w:lvlJc w:val="left"/>
      <w:lvlText w:val=""/>
      <w:pPr>
        <w:ind w:hanging="360" w:left="6120"/>
      </w:pPr>
      <w:rPr>
        <w:rFonts w:ascii="Wingdings" w:cs="Wingdings" w:hAnsi="Wingdings" w:hint="default"/>
      </w:r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360" w:left="720"/>
      </w:pPr>
      <w:rPr>
        <w:rFonts w:ascii="Wingdings" w:cs="Wingdings" w:hAnsi="Wingdings" w:hint="default"/>
      </w:rPr>
    </w:lvl>
    <w:lvl w:ilvl="1">
      <w:start w:val="1"/>
      <w:numFmt w:val="bullet"/>
      <w:lvlJc w:val="left"/>
      <w:lvlText w:val="o"/>
      <w:pPr>
        <w:ind w:hanging="360" w:left="1800"/>
      </w:pPr>
      <w:rPr>
        <w:rFonts w:ascii="Courier New" w:cs="Courier New" w:hAnsi="Courier New" w:hint="default"/>
      </w:rPr>
    </w:lvl>
    <w:lvl w:ilvl="2">
      <w:start w:val="1"/>
      <w:numFmt w:val="bullet"/>
      <w:lvlJc w:val="left"/>
      <w:lvlText w:val=""/>
      <w:pPr>
        <w:ind w:hanging="360" w:left="2520"/>
      </w:pPr>
      <w:rPr>
        <w:rFonts w:ascii="Wingdings" w:cs="Wingdings" w:hAnsi="Wingdings" w:hint="default"/>
      </w:rPr>
    </w:lvl>
    <w:lvl w:ilvl="3">
      <w:start w:val="1"/>
      <w:numFmt w:val="bullet"/>
      <w:lvlJc w:val="left"/>
      <w:lvlText w:val=""/>
      <w:pPr>
        <w:ind w:hanging="360" w:left="3240"/>
      </w:pPr>
      <w:rPr>
        <w:rFonts w:ascii="Symbol" w:cs="Symbol" w:hAnsi="Symbol" w:hint="default"/>
      </w:rPr>
    </w:lvl>
    <w:lvl w:ilvl="4">
      <w:start w:val="1"/>
      <w:numFmt w:val="bullet"/>
      <w:lvlJc w:val="left"/>
      <w:lvlText w:val="o"/>
      <w:pPr>
        <w:ind w:hanging="360" w:left="3960"/>
      </w:pPr>
      <w:rPr>
        <w:rFonts w:ascii="Courier New" w:cs="Courier New" w:hAnsi="Courier New" w:hint="default"/>
      </w:rPr>
    </w:lvl>
    <w:lvl w:ilvl="5">
      <w:start w:val="1"/>
      <w:numFmt w:val="bullet"/>
      <w:lvlJc w:val="left"/>
      <w:lvlText w:val=""/>
      <w:pPr>
        <w:ind w:hanging="360" w:left="4680"/>
      </w:pPr>
      <w:rPr>
        <w:rFonts w:ascii="Wingdings" w:cs="Wingdings" w:hAnsi="Wingdings" w:hint="default"/>
      </w:rPr>
    </w:lvl>
    <w:lvl w:ilvl="6">
      <w:start w:val="1"/>
      <w:numFmt w:val="bullet"/>
      <w:lvlJc w:val="left"/>
      <w:lvlText w:val=""/>
      <w:pPr>
        <w:ind w:hanging="360" w:left="5400"/>
      </w:pPr>
      <w:rPr>
        <w:rFonts w:ascii="Symbol" w:cs="Symbol" w:hAnsi="Symbol" w:hint="default"/>
      </w:rPr>
    </w:lvl>
    <w:lvl w:ilvl="7">
      <w:start w:val="1"/>
      <w:numFmt w:val="bullet"/>
      <w:lvlJc w:val="left"/>
      <w:lvlText w:val="o"/>
      <w:pPr>
        <w:ind w:hanging="360" w:left="6120"/>
      </w:pPr>
      <w:rPr>
        <w:rFonts w:ascii="Courier New" w:cs="Courier New" w:hAnsi="Courier New" w:hint="default"/>
      </w:rPr>
    </w:lvl>
    <w:lvl w:ilvl="8">
      <w:start w:val="1"/>
      <w:numFmt w:val="bullet"/>
      <w:lvlJc w:val="left"/>
      <w:lvlText w:val=""/>
      <w:pPr>
        <w:ind w:hanging="360" w:left="6840"/>
      </w:pPr>
      <w:rPr>
        <w:rFonts w:ascii="Wingdings" w:cs="Wingdings" w:hAnsi="Wingdings" w:hint="default"/>
      </w:rPr>
    </w:lvl>
  </w:abstractNum>
  <w:abstractNum w:abstractNumId="6">
    <w:lvl w:ilvl="0">
      <w:start w:val="1"/>
      <w:numFmt w:val="bullet"/>
      <w:lvlJc w:val="left"/>
      <w:lvlText w:val=""/>
      <w:pPr>
        <w:ind w:hanging="360" w:left="720"/>
      </w:pPr>
      <w:rPr>
        <w:rFonts w:ascii="Symbol" w:cs="Symbol" w:hAnsi="Symbol" w:hint="default"/>
        <w:color w:val="00000A"/>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Default"/>
    <w:next w:val="style0"/>
    <w:pPr>
      <w:jc w:val="left"/>
      <w:widowControl/>
      <w:tabs>
        <w:tab w:leader="none" w:pos="720" w:val="left"/>
      </w:tabs>
      <w:suppressAutoHyphens w:val="true"/>
      <w:spacing w:after="0" w:before="0" w:line="100" w:lineRule="atLeast"/>
    </w:pPr>
    <w:rPr>
      <w:color w:val="000000"/>
      <w:sz w:val="24"/>
      <w:szCs w:val="24"/>
      <w:rFonts w:ascii="Cambria" w:cs="Cambria" w:eastAsia="MS Mincho" w:hAnsi="Cambria"/>
      <w:lang w:bidi="ar-SA" w:eastAsia="ja-JP" w:val="en-US"/>
    </w:rPr>
  </w:style>
  <w:style w:styleId="style2" w:type="paragraph">
    <w:name w:val="Heading 2"/>
    <w:basedOn w:val="style0"/>
    <w:next w:val="style40"/>
    <w:pPr>
      <w:outlineLvl w:val="1"/>
      <w:numPr>
        <w:ilvl w:val="1"/>
        <w:numId w:val="1"/>
      </w:numPr>
      <w:keepNext/>
      <w:spacing w:after="0" w:before="200"/>
    </w:pPr>
    <w:rPr>
      <w:color w:val="4F81BD"/>
      <w:sz w:val="26"/>
      <w:b/>
      <w:szCs w:val="26"/>
      <w:bCs/>
      <w:rFonts w:ascii="Cambria" w:cs="" w:hAnsi="Cambria"/>
    </w:rPr>
  </w:style>
  <w:style w:styleId="style3" w:type="paragraph">
    <w:name w:val="Heading 3"/>
    <w:basedOn w:val="style0"/>
    <w:next w:val="style40"/>
    <w:pPr>
      <w:outlineLvl w:val="2"/>
      <w:numPr>
        <w:ilvl w:val="2"/>
        <w:numId w:val="1"/>
      </w:numPr>
      <w:keepNext/>
      <w:spacing w:after="60" w:before="240" w:line="260" w:lineRule="exact"/>
    </w:pPr>
    <w:rPr>
      <w:color w:val="000000"/>
      <w:sz w:val="26"/>
      <w:b/>
      <w:szCs w:val="26"/>
      <w:bCs/>
      <w:rFonts w:ascii="Arial" w:cs="Arial" w:eastAsia="Times" w:hAnsi="Arial"/>
      <w:lang w:eastAsia="en-GB"/>
    </w:rPr>
  </w:style>
  <w:style w:styleId="style15" w:type="character">
    <w:name w:val="Default Paragraph Font"/>
    <w:next w:val="style15"/>
    <w:rPr/>
  </w:style>
  <w:style w:styleId="style16" w:type="character">
    <w:name w:val="Footer Char"/>
    <w:basedOn w:val="style15"/>
    <w:next w:val="style16"/>
    <w:rPr/>
  </w:style>
  <w:style w:styleId="style17" w:type="character">
    <w:name w:val="page number"/>
    <w:basedOn w:val="style15"/>
    <w:next w:val="style17"/>
    <w:rPr/>
  </w:style>
  <w:style w:styleId="style18" w:type="character">
    <w:name w:val="Body Text Indent Char"/>
    <w:basedOn w:val="style15"/>
    <w:next w:val="style18"/>
    <w:rPr/>
  </w:style>
  <w:style w:styleId="style19" w:type="character">
    <w:name w:val="Body Text Indent 2 Char"/>
    <w:basedOn w:val="style15"/>
    <w:next w:val="style19"/>
    <w:rPr/>
  </w:style>
  <w:style w:styleId="style20" w:type="character">
    <w:name w:val="Balloon Text Char"/>
    <w:basedOn w:val="style15"/>
    <w:next w:val="style20"/>
    <w:rPr/>
  </w:style>
  <w:style w:styleId="style21" w:type="character">
    <w:name w:val="annotation reference"/>
    <w:basedOn w:val="style15"/>
    <w:next w:val="style21"/>
    <w:rPr/>
  </w:style>
  <w:style w:styleId="style22" w:type="character">
    <w:name w:val="Comment Text Char"/>
    <w:basedOn w:val="style15"/>
    <w:next w:val="style22"/>
    <w:rPr/>
  </w:style>
  <w:style w:styleId="style23" w:type="character">
    <w:name w:val="Comment Subject Char"/>
    <w:basedOn w:val="style22"/>
    <w:next w:val="style23"/>
    <w:rPr/>
  </w:style>
  <w:style w:styleId="style24" w:type="character">
    <w:name w:val="Closing Char"/>
    <w:basedOn w:val="style15"/>
    <w:next w:val="style24"/>
    <w:rPr/>
  </w:style>
  <w:style w:styleId="style25" w:type="character">
    <w:name w:val="Footnote Text Char"/>
    <w:basedOn w:val="style15"/>
    <w:next w:val="style25"/>
    <w:rPr/>
  </w:style>
  <w:style w:styleId="style26" w:type="character">
    <w:name w:val="footnote reference"/>
    <w:basedOn w:val="style15"/>
    <w:next w:val="style26"/>
    <w:rPr/>
  </w:style>
  <w:style w:styleId="style27" w:type="character">
    <w:name w:val="Internet Link"/>
    <w:basedOn w:val="style15"/>
    <w:next w:val="style27"/>
    <w:rPr>
      <w:color w:val="0000FF"/>
      <w:u w:val="single"/>
      <w:lang w:bidi="en-US" w:eastAsia="en-US" w:val="en-US"/>
    </w:rPr>
  </w:style>
  <w:style w:styleId="style28" w:type="character">
    <w:name w:val="Header Char"/>
    <w:basedOn w:val="style15"/>
    <w:next w:val="style28"/>
    <w:rPr/>
  </w:style>
  <w:style w:styleId="style29" w:type="character">
    <w:name w:val="Heading 3 Char"/>
    <w:basedOn w:val="style15"/>
    <w:next w:val="style29"/>
    <w:rPr/>
  </w:style>
  <w:style w:styleId="style30" w:type="character">
    <w:name w:val="Heading 2 Char"/>
    <w:basedOn w:val="style15"/>
    <w:next w:val="style30"/>
    <w:rPr/>
  </w:style>
  <w:style w:styleId="style31" w:type="character">
    <w:name w:val="Body Text 3 Char"/>
    <w:basedOn w:val="style15"/>
    <w:next w:val="style31"/>
    <w:rPr/>
  </w:style>
  <w:style w:styleId="style32" w:type="character">
    <w:name w:val="ListLabel 1"/>
    <w:next w:val="style32"/>
    <w:rPr>
      <w:sz w:val="22"/>
    </w:rPr>
  </w:style>
  <w:style w:styleId="style33" w:type="character">
    <w:name w:val="ListLabel 2"/>
    <w:next w:val="style33"/>
    <w:rPr>
      <w:rFonts w:cs="Arial" w:eastAsia="Calibri"/>
    </w:rPr>
  </w:style>
  <w:style w:styleId="style34" w:type="character">
    <w:name w:val="ListLabel 3"/>
    <w:next w:val="style34"/>
    <w:rPr>
      <w:rFonts w:cs="Times New Roman" w:eastAsia="MS Mincho"/>
    </w:rPr>
  </w:style>
  <w:style w:styleId="style35" w:type="character">
    <w:name w:val="ListLabel 4"/>
    <w:next w:val="style35"/>
    <w:rPr>
      <w:rFonts w:cs="Courier New"/>
    </w:rPr>
  </w:style>
  <w:style w:styleId="style36" w:type="character">
    <w:name w:val="ListLabel 5"/>
    <w:next w:val="style36"/>
    <w:rPr>
      <w:rFonts w:cs="Times New Roman" w:eastAsia="Times New Roman"/>
    </w:rPr>
  </w:style>
  <w:style w:styleId="style37" w:type="character">
    <w:name w:val="ListLabel 6"/>
    <w:next w:val="style37"/>
    <w:rPr>
      <w:rFonts w:cs="Calibri" w:eastAsia="MS Mincho"/>
    </w:rPr>
  </w:style>
  <w:style w:styleId="style38" w:type="character">
    <w:name w:val="ListLabel 7"/>
    <w:next w:val="style38"/>
    <w:rPr>
      <w:color w:val="00000A"/>
      <w:rFonts w:cs="Times New Roman" w:eastAsia="MS Mincho"/>
    </w:rPr>
  </w:style>
  <w:style w:styleId="style39" w:type="paragraph">
    <w:name w:val="Heading"/>
    <w:basedOn w:val="style0"/>
    <w:next w:val="style40"/>
    <w:pPr>
      <w:keepNext/>
      <w:spacing w:after="120" w:before="240"/>
    </w:pPr>
    <w:rPr>
      <w:sz w:val="28"/>
      <w:szCs w:val="28"/>
      <w:rFonts w:ascii="Arial" w:cs="DejaVu Sans" w:eastAsia="Lucida Sans Unicode" w:hAnsi="Arial"/>
    </w:rPr>
  </w:style>
  <w:style w:styleId="style40" w:type="paragraph">
    <w:name w:val="Text body"/>
    <w:basedOn w:val="style0"/>
    <w:next w:val="style40"/>
    <w:pPr>
      <w:spacing w:after="120" w:before="0"/>
    </w:pPr>
    <w:rPr/>
  </w:style>
  <w:style w:styleId="style41" w:type="paragraph">
    <w:name w:val="List"/>
    <w:basedOn w:val="style40"/>
    <w:next w:val="style41"/>
    <w:pPr/>
    <w:rPr>
      <w:rFonts w:cs="DejaVu Sans" w:eastAsia=".VnTime"/>
    </w:rPr>
  </w:style>
  <w:style w:styleId="style42" w:type="paragraph">
    <w:name w:val="Caption"/>
    <w:basedOn w:val="style0"/>
    <w:next w:val="style42"/>
    <w:pPr>
      <w:suppressLineNumbers/>
      <w:spacing w:after="120" w:before="120"/>
    </w:pPr>
    <w:rPr>
      <w:sz w:val="24"/>
      <w:i/>
      <w:szCs w:val="24"/>
      <w:iCs/>
      <w:rFonts w:cs="DejaVu Sans" w:eastAsia=".VnTime"/>
    </w:rPr>
  </w:style>
  <w:style w:styleId="style43" w:type="paragraph">
    <w:name w:val="Index"/>
    <w:basedOn w:val="style0"/>
    <w:next w:val="style43"/>
    <w:pPr>
      <w:suppressLineNumbers/>
    </w:pPr>
    <w:rPr>
      <w:rFonts w:cs="DejaVu Sans" w:eastAsia=".VnTime"/>
    </w:rPr>
  </w:style>
  <w:style w:styleId="style44" w:type="paragraph">
    <w:name w:val="Footer"/>
    <w:basedOn w:val="style0"/>
    <w:next w:val="style44"/>
    <w:pPr>
      <w:tabs>
        <w:tab w:leader="none" w:pos="4320" w:val="center"/>
        <w:tab w:leader="none" w:pos="8640" w:val="right"/>
      </w:tabs>
      <w:suppressLineNumbers/>
    </w:pPr>
    <w:rPr/>
  </w:style>
  <w:style w:styleId="style45" w:type="paragraph">
    <w:name w:val="Text body indent"/>
    <w:basedOn w:val="style0"/>
    <w:next w:val="style45"/>
    <w:pPr>
      <w:jc w:val="both"/>
      <w:ind w:hanging="720" w:left="1440" w:right="0"/>
    </w:pPr>
    <w:rPr>
      <w:sz w:val="20"/>
      <w:szCs w:val="20"/>
      <w:rFonts w:eastAsia="Times New Roman"/>
      <w:lang w:eastAsia="en-US"/>
    </w:rPr>
  </w:style>
  <w:style w:styleId="style46" w:type="paragraph">
    <w:name w:val="Body Text Indent 2"/>
    <w:basedOn w:val="style0"/>
    <w:next w:val="style46"/>
    <w:pPr/>
    <w:rPr/>
  </w:style>
  <w:style w:styleId="style47" w:type="paragraph">
    <w:name w:val="List Paragraph"/>
    <w:basedOn w:val="style0"/>
    <w:next w:val="style47"/>
    <w:pPr/>
    <w:rPr/>
  </w:style>
  <w:style w:styleId="style48" w:type="paragraph">
    <w:name w:val="Normal (Web)"/>
    <w:basedOn w:val="style0"/>
    <w:next w:val="style48"/>
    <w:pPr/>
    <w:rPr/>
  </w:style>
  <w:style w:styleId="style49" w:type="paragraph">
    <w:name w:val="Contents 2"/>
    <w:basedOn w:val="style0"/>
    <w:next w:val="style49"/>
    <w:pPr>
      <w:jc w:val="both"/>
      <w:tabs>
        <w:tab w:leader="none" w:pos="943" w:val="left"/>
        <w:tab w:leader="dot" w:pos="9627" w:val="right"/>
      </w:tabs>
      <w:ind w:hanging="0" w:left="283" w:right="0"/>
      <w:spacing w:after="0" w:before="40"/>
    </w:pPr>
    <w:rPr>
      <w:sz w:val="22"/>
      <w:b/>
      <w:szCs w:val="22"/>
      <w:rFonts w:ascii="Calibri" w:cs="Calibri" w:hAnsi="Calibri"/>
      <w:lang w:eastAsia="en-US"/>
    </w:rPr>
  </w:style>
  <w:style w:styleId="style50" w:type="paragraph">
    <w:name w:val="Balloon Text"/>
    <w:basedOn w:val="style0"/>
    <w:next w:val="style50"/>
    <w:pPr/>
    <w:rPr/>
  </w:style>
  <w:style w:styleId="style51" w:type="paragraph">
    <w:name w:val="annotation text"/>
    <w:basedOn w:val="style0"/>
    <w:next w:val="style51"/>
    <w:pPr/>
    <w:rPr/>
  </w:style>
  <w:style w:styleId="style52" w:type="paragraph">
    <w:name w:val="annotation subject"/>
    <w:basedOn w:val="style51"/>
    <w:next w:val="style52"/>
    <w:pPr/>
    <w:rPr/>
  </w:style>
  <w:style w:styleId="style53" w:type="paragraph">
    <w:name w:val="Closing"/>
    <w:basedOn w:val="style0"/>
    <w:next w:val="style53"/>
    <w:pPr/>
    <w:rPr/>
  </w:style>
  <w:style w:styleId="style54" w:type="paragraph">
    <w:name w:val="footnote text"/>
    <w:basedOn w:val="style0"/>
    <w:next w:val="style54"/>
    <w:pPr/>
    <w:rPr/>
  </w:style>
  <w:style w:styleId="style55" w:type="paragraph">
    <w:name w:val="Header"/>
    <w:basedOn w:val="style0"/>
    <w:next w:val="style55"/>
    <w:pPr>
      <w:tabs>
        <w:tab w:leader="none" w:pos="4680" w:val="center"/>
        <w:tab w:leader="none" w:pos="9360" w:val="right"/>
      </w:tabs>
      <w:suppressLineNumbers/>
    </w:pPr>
    <w:rPr/>
  </w:style>
  <w:style w:styleId="style56" w:type="paragraph">
    <w:name w:val="Body Text 3"/>
    <w:basedOn w:val="style0"/>
    <w:next w:val="style5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cef.org/about/employ/files/P11.doc"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2013-04-29T08:38:00.00Z</dcterms:created>
  <dc:creator>Nguyen Ngoc Trieu</dc:creator>
  <cp:lastModifiedBy>Nguyen Thu Ha</cp:lastModifiedBy>
  <cp:lastPrinted>2013-04-25T08:00:00.00Z</cp:lastPrinted>
  <dcterms:modified xsi:type="dcterms:W3CDTF">2013-04-29T08:46:00.00Z</dcterms:modified>
  <cp:revision>15</cp:revision>
</cp:coreProperties>
</file>